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2" w:rsidRPr="00D82A93" w:rsidRDefault="00A23882" w:rsidP="00A23882">
      <w:pPr>
        <w:rPr>
          <w:rFonts w:ascii="Arial" w:hAnsi="Arial" w:cs="Arial"/>
          <w:b/>
        </w:rPr>
      </w:pPr>
      <w:r w:rsidRPr="00D82A93">
        <w:rPr>
          <w:rFonts w:ascii="Arial" w:hAnsi="Arial" w:cs="Arial"/>
          <w:noProof/>
          <w:lang w:eastAsia="en-GB"/>
        </w:rPr>
        <w:drawing>
          <wp:anchor distT="0" distB="0" distL="114300" distR="114300" simplePos="0" relativeHeight="251661312" behindDoc="0" locked="0" layoutInCell="1" allowOverlap="1" wp14:anchorId="1402156A" wp14:editId="2EFC3FD4">
            <wp:simplePos x="0" y="0"/>
            <wp:positionH relativeFrom="column">
              <wp:posOffset>-714375</wp:posOffset>
            </wp:positionH>
            <wp:positionV relativeFrom="paragraph">
              <wp:posOffset>0</wp:posOffset>
            </wp:positionV>
            <wp:extent cx="3802380" cy="991235"/>
            <wp:effectExtent l="0" t="0" r="7620" b="0"/>
            <wp:wrapSquare wrapText="bothSides"/>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2380" cy="991235"/>
                    </a:xfrm>
                    <a:prstGeom prst="rect">
                      <a:avLst/>
                    </a:prstGeom>
                    <a:noFill/>
                    <a:ln>
                      <a:noFill/>
                    </a:ln>
                  </pic:spPr>
                </pic:pic>
              </a:graphicData>
            </a:graphic>
          </wp:anchor>
        </w:drawing>
      </w:r>
    </w:p>
    <w:p w:rsidR="00A23882" w:rsidRPr="00D82A93" w:rsidRDefault="00A23882" w:rsidP="00A23882">
      <w:pPr>
        <w:spacing w:after="0" w:line="240" w:lineRule="auto"/>
        <w:jc w:val="center"/>
        <w:rPr>
          <w:rFonts w:ascii="Arial" w:hAnsi="Arial" w:cs="Arial"/>
          <w:b/>
        </w:rPr>
      </w:pPr>
    </w:p>
    <w:p w:rsidR="00A23882" w:rsidRPr="00D82A93" w:rsidRDefault="00A23882" w:rsidP="00A23882">
      <w:pPr>
        <w:pStyle w:val="NoSpacing"/>
        <w:jc w:val="both"/>
        <w:rPr>
          <w:rFonts w:eastAsia="Times New Roman" w:cs="Arial"/>
          <w:b/>
          <w:bCs/>
          <w:sz w:val="22"/>
        </w:rPr>
      </w:pPr>
    </w:p>
    <w:p w:rsidR="00A23882" w:rsidRPr="00D82A93" w:rsidRDefault="00A23882" w:rsidP="00A23882">
      <w:pPr>
        <w:pStyle w:val="NoSpacing"/>
        <w:jc w:val="both"/>
        <w:rPr>
          <w:rFonts w:eastAsia="Times New Roman" w:cs="Arial"/>
          <w:b/>
          <w:bCs/>
          <w:sz w:val="22"/>
        </w:rPr>
      </w:pPr>
    </w:p>
    <w:p w:rsidR="00A23882" w:rsidRPr="00D82A93" w:rsidRDefault="00A23882" w:rsidP="00A23882">
      <w:pPr>
        <w:pStyle w:val="NoSpacing"/>
        <w:jc w:val="both"/>
        <w:rPr>
          <w:rFonts w:eastAsia="Times New Roman" w:cs="Arial"/>
          <w:b/>
          <w:bCs/>
          <w:sz w:val="22"/>
        </w:rPr>
      </w:pPr>
    </w:p>
    <w:p w:rsidR="00A23882" w:rsidRPr="00D82A93" w:rsidRDefault="00A23882" w:rsidP="00A23882">
      <w:pPr>
        <w:pStyle w:val="NoSpacing"/>
        <w:jc w:val="both"/>
        <w:rPr>
          <w:rFonts w:eastAsia="Times New Roman" w:cs="Arial"/>
          <w:b/>
          <w:bCs/>
          <w:sz w:val="22"/>
        </w:rPr>
      </w:pPr>
    </w:p>
    <w:p w:rsidR="00A23882" w:rsidRDefault="009748C7" w:rsidP="00A23882">
      <w:pPr>
        <w:pStyle w:val="NoSpacing"/>
        <w:jc w:val="both"/>
        <w:rPr>
          <w:rFonts w:eastAsia="Times New Roman" w:cs="Arial"/>
          <w:b/>
          <w:bCs/>
          <w:szCs w:val="24"/>
        </w:rPr>
      </w:pPr>
      <w:r w:rsidRPr="00255CD0">
        <w:rPr>
          <w:rFonts w:eastAsia="Times New Roman" w:cs="Arial"/>
          <w:b/>
          <w:bCs/>
          <w:szCs w:val="24"/>
        </w:rPr>
        <w:t xml:space="preserve">City Deal </w:t>
      </w:r>
      <w:r w:rsidR="009561E9" w:rsidRPr="00255CD0">
        <w:rPr>
          <w:rFonts w:eastAsia="Times New Roman" w:cs="Arial"/>
          <w:b/>
          <w:bCs/>
          <w:szCs w:val="24"/>
        </w:rPr>
        <w:t>Executive</w:t>
      </w:r>
      <w:r w:rsidR="00255CD0">
        <w:rPr>
          <w:rFonts w:eastAsia="Times New Roman" w:cs="Arial"/>
          <w:b/>
          <w:bCs/>
          <w:szCs w:val="24"/>
        </w:rPr>
        <w:t xml:space="preserve"> and Stewardship Board</w:t>
      </w:r>
      <w:r w:rsidR="000C5896" w:rsidRPr="00255CD0">
        <w:rPr>
          <w:rFonts w:eastAsia="Times New Roman" w:cs="Arial"/>
          <w:b/>
          <w:bCs/>
          <w:szCs w:val="24"/>
        </w:rPr>
        <w:t xml:space="preserve"> – </w:t>
      </w:r>
      <w:r w:rsidR="009561E9" w:rsidRPr="00255CD0">
        <w:rPr>
          <w:rFonts w:eastAsia="Times New Roman" w:cs="Arial"/>
          <w:b/>
          <w:bCs/>
          <w:szCs w:val="24"/>
        </w:rPr>
        <w:t>30</w:t>
      </w:r>
      <w:r w:rsidR="009561E9" w:rsidRPr="00255CD0">
        <w:rPr>
          <w:rFonts w:eastAsia="Times New Roman" w:cs="Arial"/>
          <w:b/>
          <w:bCs/>
          <w:szCs w:val="24"/>
          <w:vertAlign w:val="superscript"/>
        </w:rPr>
        <w:t>th</w:t>
      </w:r>
      <w:r w:rsidR="009561E9" w:rsidRPr="00255CD0">
        <w:rPr>
          <w:rFonts w:eastAsia="Times New Roman" w:cs="Arial"/>
          <w:b/>
          <w:bCs/>
          <w:szCs w:val="24"/>
        </w:rPr>
        <w:t xml:space="preserve"> September</w:t>
      </w:r>
      <w:r w:rsidRPr="00255CD0">
        <w:rPr>
          <w:rFonts w:eastAsia="Times New Roman" w:cs="Arial"/>
          <w:b/>
          <w:bCs/>
          <w:szCs w:val="24"/>
        </w:rPr>
        <w:t xml:space="preserve"> 2016</w:t>
      </w:r>
      <w:r w:rsidR="00A23882" w:rsidRPr="00255CD0">
        <w:rPr>
          <w:rFonts w:eastAsia="Times New Roman" w:cs="Arial"/>
          <w:b/>
          <w:bCs/>
          <w:szCs w:val="24"/>
        </w:rPr>
        <w:t xml:space="preserve"> </w:t>
      </w:r>
    </w:p>
    <w:p w:rsidR="00255CD0" w:rsidRDefault="00255CD0" w:rsidP="00255CD0">
      <w:pPr>
        <w:spacing w:after="0"/>
        <w:rPr>
          <w:rFonts w:ascii="Arial" w:hAnsi="Arial" w:cs="Arial"/>
          <w:b/>
          <w:sz w:val="24"/>
          <w:szCs w:val="24"/>
        </w:rPr>
      </w:pPr>
    </w:p>
    <w:p w:rsidR="00255CD0" w:rsidRPr="000C2AEF" w:rsidRDefault="00255CD0" w:rsidP="00255CD0">
      <w:pPr>
        <w:spacing w:after="0"/>
        <w:rPr>
          <w:rFonts w:ascii="Arial" w:hAnsi="Arial" w:cs="Arial"/>
          <w:b/>
          <w:sz w:val="24"/>
          <w:szCs w:val="24"/>
        </w:rPr>
      </w:pPr>
      <w:r>
        <w:rPr>
          <w:rFonts w:ascii="Arial" w:hAnsi="Arial" w:cs="Arial"/>
          <w:b/>
          <w:sz w:val="24"/>
          <w:szCs w:val="24"/>
        </w:rPr>
        <w:t>Private and Confidential: No</w:t>
      </w:r>
    </w:p>
    <w:p w:rsidR="00255CD0" w:rsidRDefault="00255CD0" w:rsidP="00255CD0">
      <w:pPr>
        <w:spacing w:after="0"/>
        <w:rPr>
          <w:rFonts w:ascii="Arial" w:hAnsi="Arial" w:cs="Arial"/>
          <w:b/>
          <w:sz w:val="24"/>
          <w:szCs w:val="24"/>
        </w:rPr>
      </w:pPr>
    </w:p>
    <w:p w:rsidR="00255CD0" w:rsidRDefault="00255CD0" w:rsidP="00255CD0">
      <w:pPr>
        <w:spacing w:after="0"/>
        <w:rPr>
          <w:rFonts w:ascii="Arial" w:hAnsi="Arial" w:cs="Arial"/>
          <w:b/>
          <w:sz w:val="24"/>
          <w:szCs w:val="24"/>
        </w:rPr>
      </w:pPr>
      <w:r>
        <w:rPr>
          <w:rFonts w:ascii="Arial" w:hAnsi="Arial" w:cs="Arial"/>
          <w:b/>
          <w:sz w:val="24"/>
          <w:szCs w:val="24"/>
        </w:rPr>
        <w:t>Date: 30</w:t>
      </w:r>
      <w:r w:rsidRPr="005D718A">
        <w:rPr>
          <w:rFonts w:ascii="Arial" w:hAnsi="Arial" w:cs="Arial"/>
          <w:b/>
          <w:sz w:val="24"/>
          <w:szCs w:val="24"/>
          <w:vertAlign w:val="superscript"/>
        </w:rPr>
        <w:t>th</w:t>
      </w:r>
      <w:r>
        <w:rPr>
          <w:rFonts w:ascii="Arial" w:hAnsi="Arial" w:cs="Arial"/>
          <w:b/>
          <w:sz w:val="24"/>
          <w:szCs w:val="24"/>
        </w:rPr>
        <w:t xml:space="preserve"> September 2016</w:t>
      </w:r>
    </w:p>
    <w:p w:rsidR="00A23882" w:rsidRPr="00255CD0" w:rsidRDefault="00255CD0" w:rsidP="00A23882">
      <w:pPr>
        <w:pStyle w:val="NoSpacing"/>
        <w:jc w:val="both"/>
        <w:rPr>
          <w:rFonts w:eastAsia="Times New Roman" w:cs="Arial"/>
          <w:b/>
          <w:bCs/>
          <w:szCs w:val="24"/>
        </w:rPr>
      </w:pPr>
      <w:r w:rsidRPr="00255CD0">
        <w:rPr>
          <w:rFonts w:cs="Arial"/>
          <w:b/>
          <w:noProof/>
          <w:szCs w:val="24"/>
          <w:lang w:eastAsia="en-GB"/>
        </w:rPr>
        <mc:AlternateContent>
          <mc:Choice Requires="wps">
            <w:drawing>
              <wp:anchor distT="0" distB="0" distL="114300" distR="114300" simplePos="0" relativeHeight="251659264" behindDoc="0" locked="0" layoutInCell="1" allowOverlap="1" wp14:anchorId="3E19F088" wp14:editId="042D6076">
                <wp:simplePos x="0" y="0"/>
                <wp:positionH relativeFrom="column">
                  <wp:posOffset>9525</wp:posOffset>
                </wp:positionH>
                <wp:positionV relativeFrom="paragraph">
                  <wp:posOffset>111125</wp:posOffset>
                </wp:positionV>
                <wp:extent cx="5924550" cy="276225"/>
                <wp:effectExtent l="0" t="0" r="19050" b="152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rsidR="00A23882" w:rsidRPr="00440FFC" w:rsidRDefault="00A23882" w:rsidP="00A23882">
                            <w:pPr>
                              <w:spacing w:after="0"/>
                              <w:rPr>
                                <w:rFonts w:ascii="Arial" w:hAnsi="Arial" w:cs="Arial"/>
                                <w:b/>
                                <w:sz w:val="24"/>
                                <w:szCs w:val="24"/>
                              </w:rPr>
                            </w:pPr>
                            <w:r>
                              <w:rPr>
                                <w:rFonts w:ascii="Arial" w:hAnsi="Arial" w:cs="Arial"/>
                                <w:b/>
                                <w:sz w:val="24"/>
                                <w:szCs w:val="24"/>
                              </w:rPr>
                              <w:t xml:space="preserve">Implementation Update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19F088" id="_x0000_t202" coordsize="21600,21600" o:spt="202" path="m,l,21600r21600,l21600,xe">
                <v:stroke joinstyle="miter"/>
                <v:path gradientshapeok="t" o:connecttype="rect"/>
              </v:shapetype>
              <v:shape id="Text Box 2" o:spid="_x0000_s1026" type="#_x0000_t202" style="position:absolute;left:0;text-align:left;margin-left:.75pt;margin-top:8.75pt;width:46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">
                <v:textbox style="mso-fit-shape-to-text:t">
                  <w:txbxContent>
                    <w:p w:rsidR="00A23882" w:rsidRPr="00440FFC" w:rsidRDefault="00A23882" w:rsidP="00A23882">
                      <w:pPr>
                        <w:spacing w:after="0"/>
                        <w:rPr>
                          <w:rFonts w:ascii="Arial" w:hAnsi="Arial" w:cs="Arial"/>
                          <w:b/>
                          <w:sz w:val="24"/>
                          <w:szCs w:val="24"/>
                        </w:rPr>
                      </w:pPr>
                      <w:r>
                        <w:rPr>
                          <w:rFonts w:ascii="Arial" w:hAnsi="Arial" w:cs="Arial"/>
                          <w:b/>
                          <w:sz w:val="24"/>
                          <w:szCs w:val="24"/>
                        </w:rPr>
                        <w:t xml:space="preserve">Implementation Update </w:t>
                      </w:r>
                    </w:p>
                  </w:txbxContent>
                </v:textbox>
                <w10:wrap type="square"/>
              </v:shape>
            </w:pict>
          </mc:Fallback>
        </mc:AlternateContent>
      </w:r>
    </w:p>
    <w:p w:rsidR="00D82A93" w:rsidRPr="00255CD0" w:rsidRDefault="00A23882" w:rsidP="00A23882">
      <w:pPr>
        <w:pStyle w:val="NoSpacing"/>
        <w:jc w:val="both"/>
        <w:rPr>
          <w:rFonts w:cs="Arial"/>
          <w:b/>
          <w:szCs w:val="24"/>
        </w:rPr>
      </w:pPr>
      <w:r w:rsidRPr="00255CD0">
        <w:rPr>
          <w:rFonts w:cs="Arial"/>
          <w:b/>
          <w:szCs w:val="24"/>
        </w:rPr>
        <w:t>Report Author</w:t>
      </w:r>
      <w:r w:rsidR="00D82A93" w:rsidRPr="00255CD0">
        <w:rPr>
          <w:rFonts w:cs="Arial"/>
          <w:b/>
          <w:szCs w:val="24"/>
        </w:rPr>
        <w:t>s</w:t>
      </w:r>
      <w:r w:rsidRPr="00255CD0">
        <w:rPr>
          <w:rFonts w:cs="Arial"/>
          <w:b/>
          <w:szCs w:val="24"/>
        </w:rPr>
        <w:t xml:space="preserve">: </w:t>
      </w:r>
    </w:p>
    <w:p w:rsidR="00D82A93" w:rsidRPr="00255CD0" w:rsidRDefault="00D82A93" w:rsidP="00A23882">
      <w:pPr>
        <w:pStyle w:val="NoSpacing"/>
        <w:jc w:val="both"/>
        <w:rPr>
          <w:rFonts w:cs="Arial"/>
          <w:b/>
          <w:szCs w:val="24"/>
        </w:rPr>
      </w:pPr>
    </w:p>
    <w:p w:rsidR="00D82A93" w:rsidRPr="00255CD0" w:rsidRDefault="00A23882" w:rsidP="00A23882">
      <w:pPr>
        <w:pStyle w:val="NoSpacing"/>
        <w:jc w:val="both"/>
        <w:rPr>
          <w:rFonts w:cs="Arial"/>
          <w:szCs w:val="24"/>
        </w:rPr>
      </w:pPr>
      <w:r w:rsidRPr="00255CD0">
        <w:rPr>
          <w:rFonts w:cs="Arial"/>
          <w:szCs w:val="24"/>
        </w:rPr>
        <w:t xml:space="preserve">Sarah Parry, Programme Manager – City Deal, Lancashire County Council, 01772 530615, email </w:t>
      </w:r>
      <w:hyperlink r:id="rId8" w:history="1">
        <w:r w:rsidR="00D82A93" w:rsidRPr="00255CD0">
          <w:rPr>
            <w:rStyle w:val="Hyperlink"/>
            <w:rFonts w:cs="Arial"/>
            <w:szCs w:val="24"/>
          </w:rPr>
          <w:t>sarah.parry@lancashire.gov.uk</w:t>
        </w:r>
      </w:hyperlink>
    </w:p>
    <w:p w:rsidR="00D82A93" w:rsidRPr="00255CD0" w:rsidRDefault="00D82A93" w:rsidP="00A23882">
      <w:pPr>
        <w:pStyle w:val="NoSpacing"/>
        <w:jc w:val="both"/>
        <w:rPr>
          <w:rFonts w:cs="Arial"/>
          <w:szCs w:val="24"/>
        </w:rPr>
      </w:pPr>
      <w:r w:rsidRPr="00255CD0">
        <w:rPr>
          <w:rFonts w:cs="Arial"/>
          <w:szCs w:val="24"/>
        </w:rPr>
        <w:t xml:space="preserve">Jo Ainsworth, Finance Advisor, Lancashire County Council, 01772 532358, email </w:t>
      </w:r>
      <w:hyperlink r:id="rId9" w:history="1">
        <w:r w:rsidRPr="00255CD0">
          <w:rPr>
            <w:rStyle w:val="Hyperlink"/>
            <w:rFonts w:cs="Arial"/>
            <w:szCs w:val="24"/>
          </w:rPr>
          <w:t>joanne.ainsworth@lancashire.gov.uk</w:t>
        </w:r>
      </w:hyperlink>
    </w:p>
    <w:p w:rsidR="00D82A93" w:rsidRPr="00255CD0" w:rsidRDefault="00D82A93" w:rsidP="00A23882">
      <w:pPr>
        <w:pStyle w:val="NoSpacing"/>
        <w:jc w:val="both"/>
        <w:rPr>
          <w:rFonts w:cs="Arial"/>
          <w:szCs w:val="24"/>
        </w:rPr>
      </w:pPr>
      <w:r w:rsidRPr="00255CD0">
        <w:rPr>
          <w:rFonts w:cs="Arial"/>
          <w:szCs w:val="24"/>
        </w:rPr>
        <w:t>Jonathan Noad, Planning Manager, South Ribble Borough Council, 01772 625206. Email jnoad@southribble.gov.uk</w:t>
      </w:r>
    </w:p>
    <w:p w:rsidR="00A23882" w:rsidRPr="00255CD0" w:rsidRDefault="00A23882" w:rsidP="00A23882">
      <w:pPr>
        <w:pStyle w:val="NoSpacing"/>
        <w:jc w:val="both"/>
        <w:rPr>
          <w:rFonts w:cs="Arial"/>
          <w:b/>
          <w:szCs w:val="24"/>
        </w:rPr>
      </w:pPr>
      <w:r w:rsidRPr="00255CD0">
        <w:rPr>
          <w:rFonts w:cs="Arial"/>
          <w:szCs w:val="24"/>
        </w:rPr>
        <w:t xml:space="preserve">  </w:t>
      </w:r>
    </w:p>
    <w:tbl>
      <w:tblPr>
        <w:tblStyle w:val="TableGrid"/>
        <w:tblW w:w="0" w:type="auto"/>
        <w:tblLook w:val="04A0" w:firstRow="1" w:lastRow="0" w:firstColumn="1" w:lastColumn="0" w:noHBand="0" w:noVBand="1"/>
      </w:tblPr>
      <w:tblGrid>
        <w:gridCol w:w="9016"/>
      </w:tblGrid>
      <w:tr w:rsidR="006C4F2C" w:rsidRPr="00255CD0" w:rsidTr="006C4F2C">
        <w:tc>
          <w:tcPr>
            <w:tcW w:w="9016" w:type="dxa"/>
          </w:tcPr>
          <w:p w:rsidR="006C4F2C" w:rsidRPr="00255CD0" w:rsidRDefault="006C4F2C" w:rsidP="006C4F2C">
            <w:pPr>
              <w:jc w:val="both"/>
              <w:rPr>
                <w:rFonts w:ascii="Arial" w:hAnsi="Arial" w:cs="Arial"/>
                <w:b/>
                <w:sz w:val="24"/>
                <w:szCs w:val="24"/>
              </w:rPr>
            </w:pPr>
          </w:p>
          <w:p w:rsidR="006C4F2C" w:rsidRPr="00255CD0" w:rsidRDefault="006C4F2C" w:rsidP="006C4F2C">
            <w:pPr>
              <w:jc w:val="both"/>
              <w:rPr>
                <w:rFonts w:ascii="Arial" w:hAnsi="Arial" w:cs="Arial"/>
                <w:b/>
                <w:sz w:val="24"/>
                <w:szCs w:val="24"/>
              </w:rPr>
            </w:pPr>
            <w:r w:rsidRPr="00255CD0">
              <w:rPr>
                <w:rFonts w:ascii="Arial" w:hAnsi="Arial" w:cs="Arial"/>
                <w:b/>
                <w:sz w:val="24"/>
                <w:szCs w:val="24"/>
              </w:rPr>
              <w:t>Purpose of the Report</w:t>
            </w:r>
          </w:p>
          <w:p w:rsidR="006C4F2C" w:rsidRPr="00255CD0" w:rsidRDefault="006C4F2C" w:rsidP="006C4F2C">
            <w:pPr>
              <w:jc w:val="both"/>
              <w:rPr>
                <w:rFonts w:ascii="Arial" w:hAnsi="Arial" w:cs="Arial"/>
                <w:b/>
                <w:sz w:val="24"/>
                <w:szCs w:val="24"/>
              </w:rPr>
            </w:pPr>
          </w:p>
          <w:p w:rsidR="006C4F2C" w:rsidRPr="00255CD0" w:rsidRDefault="0055359F" w:rsidP="006C4F2C">
            <w:pPr>
              <w:jc w:val="both"/>
              <w:rPr>
                <w:rFonts w:ascii="Arial" w:hAnsi="Arial" w:cs="Arial"/>
                <w:sz w:val="24"/>
                <w:szCs w:val="24"/>
              </w:rPr>
            </w:pPr>
            <w:r w:rsidRPr="00255CD0">
              <w:rPr>
                <w:rFonts w:ascii="Arial" w:hAnsi="Arial" w:cs="Arial"/>
                <w:sz w:val="24"/>
                <w:szCs w:val="24"/>
              </w:rPr>
              <w:t>This report is presented in 3</w:t>
            </w:r>
            <w:r w:rsidR="006C4F2C" w:rsidRPr="00255CD0">
              <w:rPr>
                <w:rFonts w:ascii="Arial" w:hAnsi="Arial" w:cs="Arial"/>
                <w:sz w:val="24"/>
                <w:szCs w:val="24"/>
              </w:rPr>
              <w:t xml:space="preserve"> parts:-</w:t>
            </w:r>
          </w:p>
          <w:p w:rsidR="0055359F" w:rsidRPr="00255CD0" w:rsidRDefault="0055359F" w:rsidP="006C4F2C">
            <w:pPr>
              <w:jc w:val="both"/>
              <w:rPr>
                <w:rFonts w:ascii="Arial" w:hAnsi="Arial" w:cs="Arial"/>
                <w:sz w:val="24"/>
                <w:szCs w:val="24"/>
              </w:rPr>
            </w:pPr>
          </w:p>
          <w:p w:rsidR="0055359F" w:rsidRPr="00255CD0" w:rsidRDefault="006C4F2C" w:rsidP="009206A2">
            <w:pPr>
              <w:pStyle w:val="ListParagraph"/>
              <w:numPr>
                <w:ilvl w:val="0"/>
                <w:numId w:val="7"/>
              </w:numPr>
              <w:ind w:left="567" w:hanging="567"/>
              <w:jc w:val="both"/>
              <w:rPr>
                <w:rFonts w:ascii="Arial" w:hAnsi="Arial" w:cs="Arial"/>
                <w:sz w:val="24"/>
                <w:szCs w:val="24"/>
              </w:rPr>
            </w:pPr>
            <w:r w:rsidRPr="00255CD0">
              <w:rPr>
                <w:rFonts w:ascii="Arial" w:hAnsi="Arial" w:cs="Arial"/>
                <w:sz w:val="24"/>
                <w:szCs w:val="24"/>
              </w:rPr>
              <w:t>Year 3, Quarter 1 Project Monitoring Report relating to the period April – June 2016</w:t>
            </w:r>
          </w:p>
          <w:p w:rsidR="006C4F2C" w:rsidRPr="00255CD0" w:rsidRDefault="006C4F2C" w:rsidP="009206A2">
            <w:pPr>
              <w:pStyle w:val="ListParagraph"/>
              <w:numPr>
                <w:ilvl w:val="0"/>
                <w:numId w:val="7"/>
              </w:numPr>
              <w:ind w:left="567" w:hanging="567"/>
              <w:jc w:val="both"/>
              <w:rPr>
                <w:rFonts w:ascii="Arial" w:hAnsi="Arial" w:cs="Arial"/>
                <w:sz w:val="24"/>
                <w:szCs w:val="24"/>
              </w:rPr>
            </w:pPr>
            <w:r w:rsidRPr="00255CD0">
              <w:rPr>
                <w:rFonts w:ascii="Arial" w:hAnsi="Arial" w:cs="Arial"/>
                <w:sz w:val="24"/>
                <w:szCs w:val="24"/>
              </w:rPr>
              <w:t xml:space="preserve">Year 3, Quarter 1 Finance Monitoring Report relating to the period April – June 2016 </w:t>
            </w:r>
          </w:p>
          <w:p w:rsidR="0055359F" w:rsidRPr="00255CD0" w:rsidRDefault="006C4F2C" w:rsidP="0055359F">
            <w:pPr>
              <w:pStyle w:val="ListParagraph"/>
              <w:numPr>
                <w:ilvl w:val="0"/>
                <w:numId w:val="7"/>
              </w:numPr>
              <w:ind w:left="567" w:hanging="567"/>
              <w:jc w:val="both"/>
              <w:rPr>
                <w:rFonts w:ascii="Arial" w:hAnsi="Arial" w:cs="Arial"/>
                <w:b/>
                <w:sz w:val="24"/>
                <w:szCs w:val="24"/>
              </w:rPr>
            </w:pPr>
            <w:r w:rsidRPr="00255CD0">
              <w:rPr>
                <w:rFonts w:ascii="Arial" w:hAnsi="Arial" w:cs="Arial"/>
                <w:sz w:val="24"/>
                <w:szCs w:val="24"/>
              </w:rPr>
              <w:t>Report of the Plann</w:t>
            </w:r>
            <w:r w:rsidR="0055359F" w:rsidRPr="00255CD0">
              <w:rPr>
                <w:rFonts w:ascii="Arial" w:hAnsi="Arial" w:cs="Arial"/>
                <w:sz w:val="24"/>
                <w:szCs w:val="24"/>
              </w:rPr>
              <w:t xml:space="preserve">ing and Housing Delivery Group </w:t>
            </w:r>
          </w:p>
          <w:p w:rsidR="0055359F" w:rsidRPr="00255CD0" w:rsidRDefault="0055359F" w:rsidP="0055359F">
            <w:pPr>
              <w:jc w:val="both"/>
              <w:rPr>
                <w:rFonts w:ascii="Arial" w:hAnsi="Arial" w:cs="Arial"/>
                <w:b/>
                <w:sz w:val="24"/>
                <w:szCs w:val="24"/>
              </w:rPr>
            </w:pPr>
          </w:p>
        </w:tc>
      </w:tr>
    </w:tbl>
    <w:p w:rsidR="009561E9" w:rsidRPr="00255CD0" w:rsidRDefault="009561E9" w:rsidP="002623EC">
      <w:pPr>
        <w:ind w:left="360"/>
        <w:jc w:val="both"/>
        <w:rPr>
          <w:rFonts w:ascii="Arial" w:hAnsi="Arial" w:cs="Arial"/>
          <w:sz w:val="24"/>
          <w:szCs w:val="24"/>
        </w:rPr>
      </w:pPr>
    </w:p>
    <w:p w:rsidR="006503AC" w:rsidRPr="00255CD0" w:rsidRDefault="002623EC" w:rsidP="00A23882">
      <w:pPr>
        <w:jc w:val="both"/>
        <w:rPr>
          <w:rFonts w:ascii="Arial" w:hAnsi="Arial" w:cs="Arial"/>
          <w:b/>
          <w:sz w:val="24"/>
          <w:szCs w:val="24"/>
          <w:u w:val="single"/>
        </w:rPr>
      </w:pPr>
      <w:r w:rsidRPr="00255CD0">
        <w:rPr>
          <w:rFonts w:ascii="Arial" w:hAnsi="Arial" w:cs="Arial"/>
          <w:b/>
          <w:sz w:val="24"/>
          <w:szCs w:val="24"/>
        </w:rPr>
        <w:t>1.</w:t>
      </w:r>
      <w:r w:rsidRPr="00255CD0">
        <w:rPr>
          <w:rFonts w:ascii="Arial" w:hAnsi="Arial" w:cs="Arial"/>
          <w:b/>
          <w:sz w:val="24"/>
          <w:szCs w:val="24"/>
        </w:rPr>
        <w:tab/>
      </w:r>
      <w:r w:rsidRPr="00255CD0">
        <w:rPr>
          <w:rFonts w:ascii="Arial" w:hAnsi="Arial" w:cs="Arial"/>
          <w:b/>
          <w:sz w:val="24"/>
          <w:szCs w:val="24"/>
          <w:u w:val="single"/>
        </w:rPr>
        <w:t>Year 3 Quarter 1 – Project Monitoring Report (April-June 2016)</w:t>
      </w:r>
    </w:p>
    <w:p w:rsidR="00AA24E9" w:rsidRPr="00255CD0" w:rsidRDefault="00A23882" w:rsidP="00A23882">
      <w:pPr>
        <w:ind w:left="720" w:hanging="720"/>
        <w:jc w:val="both"/>
        <w:rPr>
          <w:rFonts w:ascii="Arial" w:hAnsi="Arial" w:cs="Arial"/>
          <w:sz w:val="24"/>
          <w:szCs w:val="24"/>
        </w:rPr>
      </w:pPr>
      <w:r w:rsidRPr="00255CD0">
        <w:rPr>
          <w:rFonts w:ascii="Arial" w:hAnsi="Arial" w:cs="Arial"/>
          <w:sz w:val="24"/>
          <w:szCs w:val="24"/>
        </w:rPr>
        <w:t>1.1</w:t>
      </w:r>
      <w:r w:rsidRPr="00255CD0">
        <w:rPr>
          <w:rFonts w:ascii="Arial" w:hAnsi="Arial" w:cs="Arial"/>
          <w:sz w:val="24"/>
          <w:szCs w:val="24"/>
        </w:rPr>
        <w:tab/>
      </w:r>
      <w:r w:rsidR="006C4F2C" w:rsidRPr="00255CD0">
        <w:rPr>
          <w:rFonts w:ascii="Arial" w:hAnsi="Arial" w:cs="Arial"/>
          <w:b/>
          <w:sz w:val="24"/>
          <w:szCs w:val="24"/>
        </w:rPr>
        <w:t>C</w:t>
      </w:r>
      <w:r w:rsidR="00AC4674" w:rsidRPr="00255CD0">
        <w:rPr>
          <w:rFonts w:ascii="Arial" w:hAnsi="Arial" w:cs="Arial"/>
          <w:b/>
          <w:sz w:val="24"/>
          <w:szCs w:val="24"/>
        </w:rPr>
        <w:t>urrent Position</w:t>
      </w:r>
    </w:p>
    <w:p w:rsidR="00224E8B" w:rsidRPr="00255CD0" w:rsidRDefault="006C4F2C" w:rsidP="006C4F2C">
      <w:pPr>
        <w:ind w:left="720" w:hanging="720"/>
        <w:jc w:val="both"/>
        <w:rPr>
          <w:rFonts w:ascii="Arial" w:hAnsi="Arial" w:cs="Arial"/>
          <w:sz w:val="24"/>
          <w:szCs w:val="24"/>
        </w:rPr>
      </w:pPr>
      <w:r w:rsidRPr="00255CD0">
        <w:rPr>
          <w:rFonts w:ascii="Arial" w:hAnsi="Arial" w:cs="Arial"/>
          <w:sz w:val="24"/>
          <w:szCs w:val="24"/>
        </w:rPr>
        <w:t>1.2</w:t>
      </w:r>
      <w:r w:rsidR="00A23882" w:rsidRPr="00255CD0">
        <w:rPr>
          <w:rFonts w:ascii="Arial" w:hAnsi="Arial" w:cs="Arial"/>
          <w:sz w:val="24"/>
          <w:szCs w:val="24"/>
        </w:rPr>
        <w:tab/>
      </w:r>
      <w:r w:rsidRPr="00255CD0">
        <w:rPr>
          <w:rFonts w:ascii="Arial" w:hAnsi="Arial" w:cs="Arial"/>
          <w:sz w:val="24"/>
          <w:szCs w:val="24"/>
        </w:rPr>
        <w:t>The project monitoring spreadsheet attached, sets out in detail</w:t>
      </w:r>
      <w:r w:rsidR="00224E8B" w:rsidRPr="00255CD0">
        <w:rPr>
          <w:rFonts w:ascii="Arial" w:hAnsi="Arial" w:cs="Arial"/>
          <w:sz w:val="24"/>
          <w:szCs w:val="24"/>
        </w:rPr>
        <w:t>,</w:t>
      </w:r>
      <w:r w:rsidRPr="00255CD0">
        <w:rPr>
          <w:rFonts w:ascii="Arial" w:hAnsi="Arial" w:cs="Arial"/>
          <w:sz w:val="24"/>
          <w:szCs w:val="24"/>
        </w:rPr>
        <w:t xml:space="preserve"> the progress made during quarter 1 2016/17.  The spreadsheet reflects the position of the schemes as at </w:t>
      </w:r>
      <w:r w:rsidR="00CF56E1" w:rsidRPr="00255CD0">
        <w:rPr>
          <w:rFonts w:ascii="Arial" w:hAnsi="Arial" w:cs="Arial"/>
          <w:sz w:val="24"/>
          <w:szCs w:val="24"/>
        </w:rPr>
        <w:t>30</w:t>
      </w:r>
      <w:r w:rsidR="00CF56E1" w:rsidRPr="00255CD0">
        <w:rPr>
          <w:rFonts w:ascii="Arial" w:hAnsi="Arial" w:cs="Arial"/>
          <w:sz w:val="24"/>
          <w:szCs w:val="24"/>
          <w:vertAlign w:val="superscript"/>
        </w:rPr>
        <w:t>th</w:t>
      </w:r>
      <w:r w:rsidR="00CF56E1" w:rsidRPr="00255CD0">
        <w:rPr>
          <w:rFonts w:ascii="Arial" w:hAnsi="Arial" w:cs="Arial"/>
          <w:sz w:val="24"/>
          <w:szCs w:val="24"/>
        </w:rPr>
        <w:t xml:space="preserve"> June</w:t>
      </w:r>
      <w:r w:rsidRPr="00255CD0">
        <w:rPr>
          <w:rFonts w:ascii="Arial" w:hAnsi="Arial" w:cs="Arial"/>
          <w:sz w:val="24"/>
          <w:szCs w:val="24"/>
        </w:rPr>
        <w:t xml:space="preserve"> 2016 and overall, </w:t>
      </w:r>
      <w:r w:rsidR="00040CA7" w:rsidRPr="00255CD0">
        <w:rPr>
          <w:rFonts w:ascii="Arial" w:hAnsi="Arial" w:cs="Arial"/>
          <w:sz w:val="24"/>
          <w:szCs w:val="24"/>
        </w:rPr>
        <w:t>shows</w:t>
      </w:r>
      <w:r w:rsidR="00177CE8" w:rsidRPr="00255CD0">
        <w:rPr>
          <w:rFonts w:ascii="Arial" w:hAnsi="Arial" w:cs="Arial"/>
          <w:sz w:val="24"/>
          <w:szCs w:val="24"/>
        </w:rPr>
        <w:t xml:space="preserve"> that good progress </w:t>
      </w:r>
      <w:r w:rsidR="00224E8B" w:rsidRPr="00255CD0">
        <w:rPr>
          <w:rFonts w:ascii="Arial" w:hAnsi="Arial" w:cs="Arial"/>
          <w:sz w:val="24"/>
          <w:szCs w:val="24"/>
        </w:rPr>
        <w:t>was made during that period</w:t>
      </w:r>
      <w:r w:rsidR="00177CE8" w:rsidRPr="00255CD0">
        <w:rPr>
          <w:rFonts w:ascii="Arial" w:hAnsi="Arial" w:cs="Arial"/>
          <w:sz w:val="24"/>
          <w:szCs w:val="24"/>
        </w:rPr>
        <w:t xml:space="preserve">.  </w:t>
      </w:r>
      <w:r w:rsidR="00224E8B" w:rsidRPr="00255CD0">
        <w:rPr>
          <w:rFonts w:ascii="Arial" w:hAnsi="Arial" w:cs="Arial"/>
          <w:sz w:val="24"/>
          <w:szCs w:val="24"/>
        </w:rPr>
        <w:t xml:space="preserve">  </w:t>
      </w:r>
    </w:p>
    <w:p w:rsidR="00177CE8" w:rsidRPr="00255CD0" w:rsidRDefault="00224E8B" w:rsidP="006C4F2C">
      <w:pPr>
        <w:ind w:left="720" w:hanging="720"/>
        <w:jc w:val="both"/>
        <w:rPr>
          <w:rFonts w:ascii="Arial" w:hAnsi="Arial" w:cs="Arial"/>
          <w:sz w:val="24"/>
          <w:szCs w:val="24"/>
        </w:rPr>
      </w:pPr>
      <w:r w:rsidRPr="00255CD0">
        <w:rPr>
          <w:rFonts w:ascii="Arial" w:hAnsi="Arial" w:cs="Arial"/>
          <w:sz w:val="24"/>
          <w:szCs w:val="24"/>
        </w:rPr>
        <w:t>1.3</w:t>
      </w:r>
      <w:r w:rsidRPr="00255CD0">
        <w:rPr>
          <w:rFonts w:ascii="Arial" w:hAnsi="Arial" w:cs="Arial"/>
          <w:sz w:val="24"/>
          <w:szCs w:val="24"/>
        </w:rPr>
        <w:tab/>
        <w:t>Key milestones achieved include; submission of the</w:t>
      </w:r>
      <w:r w:rsidR="00177CE8" w:rsidRPr="00255CD0">
        <w:rPr>
          <w:rFonts w:ascii="Arial" w:hAnsi="Arial" w:cs="Arial"/>
          <w:sz w:val="24"/>
          <w:szCs w:val="24"/>
        </w:rPr>
        <w:t xml:space="preserve"> planning applications </w:t>
      </w:r>
      <w:r w:rsidRPr="00255CD0">
        <w:rPr>
          <w:rFonts w:ascii="Arial" w:hAnsi="Arial" w:cs="Arial"/>
          <w:sz w:val="24"/>
          <w:szCs w:val="24"/>
        </w:rPr>
        <w:t>for the PWD and E/W Link Road</w:t>
      </w:r>
      <w:r w:rsidR="00177CE8" w:rsidRPr="00255CD0">
        <w:rPr>
          <w:rFonts w:ascii="Arial" w:hAnsi="Arial" w:cs="Arial"/>
          <w:sz w:val="24"/>
          <w:szCs w:val="24"/>
        </w:rPr>
        <w:t xml:space="preserve">, </w:t>
      </w:r>
      <w:r w:rsidR="00D82A93" w:rsidRPr="00255CD0">
        <w:rPr>
          <w:rFonts w:ascii="Arial" w:hAnsi="Arial" w:cs="Arial"/>
          <w:sz w:val="24"/>
          <w:szCs w:val="24"/>
        </w:rPr>
        <w:t xml:space="preserve">Completion of the </w:t>
      </w:r>
      <w:r w:rsidR="00177CE8" w:rsidRPr="00255CD0">
        <w:rPr>
          <w:rFonts w:ascii="Arial" w:hAnsi="Arial" w:cs="Arial"/>
          <w:sz w:val="24"/>
          <w:szCs w:val="24"/>
        </w:rPr>
        <w:t xml:space="preserve">consultation on the Penwortham Bypass, </w:t>
      </w:r>
      <w:r w:rsidR="00D82A93" w:rsidRPr="00255CD0">
        <w:rPr>
          <w:rFonts w:ascii="Arial" w:hAnsi="Arial" w:cs="Arial"/>
          <w:sz w:val="24"/>
          <w:szCs w:val="24"/>
        </w:rPr>
        <w:t xml:space="preserve">good progress made with the </w:t>
      </w:r>
      <w:r w:rsidR="00177CE8" w:rsidRPr="00255CD0">
        <w:rPr>
          <w:rFonts w:ascii="Arial" w:hAnsi="Arial" w:cs="Arial"/>
          <w:sz w:val="24"/>
          <w:szCs w:val="24"/>
        </w:rPr>
        <w:t>works to the A582 including Pope Lane roundabout and</w:t>
      </w:r>
      <w:r w:rsidR="00D82A93" w:rsidRPr="00255CD0">
        <w:rPr>
          <w:rFonts w:ascii="Arial" w:hAnsi="Arial" w:cs="Arial"/>
          <w:sz w:val="24"/>
          <w:szCs w:val="24"/>
        </w:rPr>
        <w:t xml:space="preserve"> commencement of the </w:t>
      </w:r>
      <w:r w:rsidR="00177CE8" w:rsidRPr="00255CD0">
        <w:rPr>
          <w:rFonts w:ascii="Arial" w:hAnsi="Arial" w:cs="Arial"/>
          <w:sz w:val="24"/>
          <w:szCs w:val="24"/>
        </w:rPr>
        <w:t xml:space="preserve">works </w:t>
      </w:r>
      <w:r w:rsidR="00D82A93" w:rsidRPr="00255CD0">
        <w:rPr>
          <w:rFonts w:ascii="Arial" w:hAnsi="Arial" w:cs="Arial"/>
          <w:sz w:val="24"/>
          <w:szCs w:val="24"/>
        </w:rPr>
        <w:t>on</w:t>
      </w:r>
      <w:r w:rsidR="00177CE8" w:rsidRPr="00255CD0">
        <w:rPr>
          <w:rFonts w:ascii="Arial" w:hAnsi="Arial" w:cs="Arial"/>
          <w:sz w:val="24"/>
          <w:szCs w:val="24"/>
        </w:rPr>
        <w:t xml:space="preserve"> site at New Hall Lane.  The planning application in respect of the Preston Bus Station Car Park </w:t>
      </w:r>
      <w:r w:rsidR="0055359F" w:rsidRPr="00255CD0">
        <w:rPr>
          <w:rFonts w:ascii="Arial" w:hAnsi="Arial" w:cs="Arial"/>
          <w:sz w:val="24"/>
          <w:szCs w:val="24"/>
        </w:rPr>
        <w:t>was</w:t>
      </w:r>
      <w:r w:rsidR="00177CE8" w:rsidRPr="00255CD0">
        <w:rPr>
          <w:rFonts w:ascii="Arial" w:hAnsi="Arial" w:cs="Arial"/>
          <w:sz w:val="24"/>
          <w:szCs w:val="24"/>
        </w:rPr>
        <w:t xml:space="preserve"> submitted according to the programme and the det</w:t>
      </w:r>
      <w:r w:rsidR="00D82A93" w:rsidRPr="00255CD0">
        <w:rPr>
          <w:rFonts w:ascii="Arial" w:hAnsi="Arial" w:cs="Arial"/>
          <w:sz w:val="24"/>
          <w:szCs w:val="24"/>
        </w:rPr>
        <w:t>ailed design for Bamber Bridge was also completed during Q1.</w:t>
      </w:r>
    </w:p>
    <w:p w:rsidR="00177CE8" w:rsidRPr="00255CD0" w:rsidRDefault="00F70E84" w:rsidP="00A23882">
      <w:pPr>
        <w:ind w:left="720" w:hanging="720"/>
        <w:jc w:val="both"/>
        <w:rPr>
          <w:rFonts w:ascii="Arial" w:hAnsi="Arial" w:cs="Arial"/>
          <w:sz w:val="24"/>
          <w:szCs w:val="24"/>
        </w:rPr>
      </w:pPr>
      <w:r w:rsidRPr="00255CD0">
        <w:rPr>
          <w:rFonts w:ascii="Arial" w:hAnsi="Arial" w:cs="Arial"/>
          <w:sz w:val="24"/>
          <w:szCs w:val="24"/>
        </w:rPr>
        <w:lastRenderedPageBreak/>
        <w:t>1.4</w:t>
      </w:r>
      <w:r w:rsidR="00177CE8" w:rsidRPr="00255CD0">
        <w:rPr>
          <w:rFonts w:ascii="Arial" w:hAnsi="Arial" w:cs="Arial"/>
          <w:sz w:val="24"/>
          <w:szCs w:val="24"/>
        </w:rPr>
        <w:tab/>
      </w:r>
      <w:r w:rsidR="00224E8B" w:rsidRPr="00255CD0">
        <w:rPr>
          <w:rFonts w:ascii="Arial" w:hAnsi="Arial" w:cs="Arial"/>
          <w:sz w:val="24"/>
          <w:szCs w:val="24"/>
        </w:rPr>
        <w:t>The E&amp;SB</w:t>
      </w:r>
      <w:r w:rsidR="00040CA7" w:rsidRPr="00255CD0">
        <w:rPr>
          <w:rFonts w:ascii="Arial" w:hAnsi="Arial" w:cs="Arial"/>
          <w:sz w:val="24"/>
          <w:szCs w:val="24"/>
        </w:rPr>
        <w:t xml:space="preserve"> will note that o</w:t>
      </w:r>
      <w:r w:rsidR="009508AA" w:rsidRPr="00255CD0">
        <w:rPr>
          <w:rFonts w:ascii="Arial" w:hAnsi="Arial" w:cs="Arial"/>
          <w:sz w:val="24"/>
          <w:szCs w:val="24"/>
        </w:rPr>
        <w:t xml:space="preserve">f the </w:t>
      </w:r>
      <w:r w:rsidR="007C4509" w:rsidRPr="00255CD0">
        <w:rPr>
          <w:rFonts w:ascii="Arial" w:hAnsi="Arial" w:cs="Arial"/>
          <w:sz w:val="24"/>
          <w:szCs w:val="24"/>
        </w:rPr>
        <w:t>45</w:t>
      </w:r>
      <w:r w:rsidR="009508AA" w:rsidRPr="00255CD0">
        <w:rPr>
          <w:rFonts w:ascii="Arial" w:hAnsi="Arial" w:cs="Arial"/>
          <w:sz w:val="24"/>
          <w:szCs w:val="24"/>
        </w:rPr>
        <w:t xml:space="preserve"> </w:t>
      </w:r>
      <w:r w:rsidR="00FA7B5B" w:rsidRPr="00255CD0">
        <w:rPr>
          <w:rFonts w:ascii="Arial" w:hAnsi="Arial" w:cs="Arial"/>
          <w:sz w:val="24"/>
          <w:szCs w:val="24"/>
        </w:rPr>
        <w:t>schemes included in the Plan for this</w:t>
      </w:r>
      <w:r w:rsidR="00F50983" w:rsidRPr="00255CD0">
        <w:rPr>
          <w:rFonts w:ascii="Arial" w:hAnsi="Arial" w:cs="Arial"/>
          <w:sz w:val="24"/>
          <w:szCs w:val="24"/>
        </w:rPr>
        <w:t xml:space="preserve"> year</w:t>
      </w:r>
      <w:r w:rsidR="00FA7B5B" w:rsidRPr="00255CD0">
        <w:rPr>
          <w:rFonts w:ascii="Arial" w:hAnsi="Arial" w:cs="Arial"/>
          <w:sz w:val="24"/>
          <w:szCs w:val="24"/>
        </w:rPr>
        <w:t xml:space="preserve">, </w:t>
      </w:r>
      <w:r w:rsidR="00D237C4" w:rsidRPr="00255CD0">
        <w:rPr>
          <w:rFonts w:ascii="Arial" w:hAnsi="Arial" w:cs="Arial"/>
          <w:sz w:val="24"/>
          <w:szCs w:val="24"/>
        </w:rPr>
        <w:t>2</w:t>
      </w:r>
      <w:r w:rsidR="007C4509" w:rsidRPr="00255CD0">
        <w:rPr>
          <w:rFonts w:ascii="Arial" w:hAnsi="Arial" w:cs="Arial"/>
          <w:sz w:val="24"/>
          <w:szCs w:val="24"/>
        </w:rPr>
        <w:t>9</w:t>
      </w:r>
      <w:r w:rsidR="00FA7B5B" w:rsidRPr="00255CD0">
        <w:rPr>
          <w:rFonts w:ascii="Arial" w:hAnsi="Arial" w:cs="Arial"/>
          <w:sz w:val="24"/>
          <w:szCs w:val="24"/>
        </w:rPr>
        <w:t xml:space="preserve"> are progressing as pla</w:t>
      </w:r>
      <w:r w:rsidR="00177CE8" w:rsidRPr="00255CD0">
        <w:rPr>
          <w:rFonts w:ascii="Arial" w:hAnsi="Arial" w:cs="Arial"/>
          <w:sz w:val="24"/>
          <w:szCs w:val="24"/>
        </w:rPr>
        <w:t xml:space="preserve">nned with no issues </w:t>
      </w:r>
      <w:r w:rsidR="00A76452" w:rsidRPr="00255CD0">
        <w:rPr>
          <w:rFonts w:ascii="Arial" w:hAnsi="Arial" w:cs="Arial"/>
          <w:sz w:val="24"/>
          <w:szCs w:val="24"/>
        </w:rPr>
        <w:t>identified</w:t>
      </w:r>
      <w:r w:rsidR="00177CE8" w:rsidRPr="00255CD0">
        <w:rPr>
          <w:rFonts w:ascii="Arial" w:hAnsi="Arial" w:cs="Arial"/>
          <w:sz w:val="24"/>
          <w:szCs w:val="24"/>
        </w:rPr>
        <w:t xml:space="preserve"> and</w:t>
      </w:r>
      <w:r w:rsidR="00FA7B5B" w:rsidRPr="00255CD0">
        <w:rPr>
          <w:rFonts w:ascii="Arial" w:hAnsi="Arial" w:cs="Arial"/>
          <w:sz w:val="24"/>
          <w:szCs w:val="24"/>
        </w:rPr>
        <w:t xml:space="preserve"> </w:t>
      </w:r>
      <w:r w:rsidR="007C4509" w:rsidRPr="00255CD0">
        <w:rPr>
          <w:rFonts w:ascii="Arial" w:hAnsi="Arial" w:cs="Arial"/>
          <w:sz w:val="24"/>
          <w:szCs w:val="24"/>
        </w:rPr>
        <w:t>16</w:t>
      </w:r>
      <w:r w:rsidR="00FA7B5B" w:rsidRPr="00255CD0">
        <w:rPr>
          <w:rFonts w:ascii="Arial" w:hAnsi="Arial" w:cs="Arial"/>
          <w:sz w:val="24"/>
          <w:szCs w:val="24"/>
        </w:rPr>
        <w:t xml:space="preserve"> </w:t>
      </w:r>
      <w:r w:rsidR="00177CE8" w:rsidRPr="00255CD0">
        <w:rPr>
          <w:rFonts w:ascii="Arial" w:hAnsi="Arial" w:cs="Arial"/>
          <w:sz w:val="24"/>
          <w:szCs w:val="24"/>
        </w:rPr>
        <w:t xml:space="preserve">have been </w:t>
      </w:r>
      <w:r w:rsidR="00A76452" w:rsidRPr="00255CD0">
        <w:rPr>
          <w:rFonts w:ascii="Arial" w:hAnsi="Arial" w:cs="Arial"/>
          <w:sz w:val="24"/>
          <w:szCs w:val="24"/>
        </w:rPr>
        <w:t>highlighted</w:t>
      </w:r>
      <w:r w:rsidR="00177CE8" w:rsidRPr="00255CD0">
        <w:rPr>
          <w:rFonts w:ascii="Arial" w:hAnsi="Arial" w:cs="Arial"/>
          <w:sz w:val="24"/>
          <w:szCs w:val="24"/>
        </w:rPr>
        <w:t xml:space="preserve"> red/amber, either because they have not met the milestones in Q1 or will not meet the milestones </w:t>
      </w:r>
      <w:r w:rsidR="00522C54" w:rsidRPr="00255CD0">
        <w:rPr>
          <w:rFonts w:ascii="Arial" w:hAnsi="Arial" w:cs="Arial"/>
          <w:sz w:val="24"/>
          <w:szCs w:val="24"/>
        </w:rPr>
        <w:t>going forward</w:t>
      </w:r>
      <w:r w:rsidR="00177CE8" w:rsidRPr="00255CD0">
        <w:rPr>
          <w:rFonts w:ascii="Arial" w:hAnsi="Arial" w:cs="Arial"/>
          <w:sz w:val="24"/>
          <w:szCs w:val="24"/>
        </w:rPr>
        <w:t>.</w:t>
      </w:r>
    </w:p>
    <w:p w:rsidR="00806384" w:rsidRPr="00255CD0" w:rsidRDefault="00F70E84" w:rsidP="00A23882">
      <w:pPr>
        <w:ind w:left="720" w:hanging="720"/>
        <w:jc w:val="both"/>
        <w:rPr>
          <w:rFonts w:ascii="Arial" w:hAnsi="Arial" w:cs="Arial"/>
          <w:sz w:val="24"/>
          <w:szCs w:val="24"/>
        </w:rPr>
      </w:pPr>
      <w:r w:rsidRPr="00255CD0">
        <w:rPr>
          <w:rFonts w:ascii="Arial" w:hAnsi="Arial" w:cs="Arial"/>
          <w:sz w:val="24"/>
          <w:szCs w:val="24"/>
        </w:rPr>
        <w:t>1.5</w:t>
      </w:r>
      <w:r w:rsidR="00467DA1" w:rsidRPr="00255CD0">
        <w:rPr>
          <w:rFonts w:ascii="Arial" w:hAnsi="Arial" w:cs="Arial"/>
          <w:sz w:val="24"/>
          <w:szCs w:val="24"/>
        </w:rPr>
        <w:tab/>
        <w:t>Scheme issues</w:t>
      </w:r>
      <w:r w:rsidR="00806384" w:rsidRPr="00255CD0">
        <w:rPr>
          <w:rFonts w:ascii="Arial" w:hAnsi="Arial" w:cs="Arial"/>
          <w:sz w:val="24"/>
          <w:szCs w:val="24"/>
        </w:rPr>
        <w:t xml:space="preserve"> highlighted </w:t>
      </w:r>
      <w:r w:rsidR="00B42B8B" w:rsidRPr="00255CD0">
        <w:rPr>
          <w:rFonts w:ascii="Arial" w:hAnsi="Arial" w:cs="Arial"/>
          <w:sz w:val="24"/>
          <w:szCs w:val="24"/>
        </w:rPr>
        <w:t>in the report are</w:t>
      </w:r>
      <w:r w:rsidR="00806384" w:rsidRPr="00255CD0">
        <w:rPr>
          <w:rFonts w:ascii="Arial" w:hAnsi="Arial" w:cs="Arial"/>
          <w:sz w:val="24"/>
          <w:szCs w:val="24"/>
        </w:rPr>
        <w:t>:-</w:t>
      </w:r>
    </w:p>
    <w:p w:rsidR="00806384" w:rsidRPr="00255CD0" w:rsidRDefault="00806384" w:rsidP="00A23882">
      <w:pPr>
        <w:ind w:left="720" w:hanging="720"/>
        <w:jc w:val="both"/>
        <w:rPr>
          <w:rFonts w:ascii="Arial" w:hAnsi="Arial" w:cs="Arial"/>
          <w:b/>
          <w:sz w:val="24"/>
          <w:szCs w:val="24"/>
        </w:rPr>
      </w:pPr>
      <w:r w:rsidRPr="00255CD0">
        <w:rPr>
          <w:rFonts w:ascii="Arial" w:hAnsi="Arial" w:cs="Arial"/>
          <w:sz w:val="24"/>
          <w:szCs w:val="24"/>
        </w:rPr>
        <w:tab/>
      </w:r>
      <w:r w:rsidRPr="00255CD0">
        <w:rPr>
          <w:rFonts w:ascii="Arial" w:hAnsi="Arial" w:cs="Arial"/>
          <w:b/>
          <w:sz w:val="24"/>
          <w:szCs w:val="24"/>
        </w:rPr>
        <w:t>Highways and Transport</w:t>
      </w:r>
      <w:r w:rsidR="00324593" w:rsidRPr="00255CD0">
        <w:rPr>
          <w:rFonts w:ascii="Arial" w:hAnsi="Arial" w:cs="Arial"/>
          <w:b/>
          <w:sz w:val="24"/>
          <w:szCs w:val="24"/>
        </w:rPr>
        <w:t>/Priority Corridors</w:t>
      </w:r>
    </w:p>
    <w:p w:rsidR="00806384" w:rsidRPr="00255CD0" w:rsidRDefault="00806384" w:rsidP="00103115">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Preston Western Distributor</w:t>
      </w:r>
      <w:r w:rsidRPr="00255CD0">
        <w:rPr>
          <w:rFonts w:ascii="Arial" w:hAnsi="Arial" w:cs="Arial"/>
          <w:sz w:val="24"/>
          <w:szCs w:val="24"/>
        </w:rPr>
        <w:t xml:space="preserve"> – Planning application has been submitted as planned. Outline business case has not been submitted and is now expected to be submitted during Q3 due to increased </w:t>
      </w:r>
      <w:r w:rsidR="00667D53" w:rsidRPr="00255CD0">
        <w:rPr>
          <w:rFonts w:ascii="Arial" w:hAnsi="Arial" w:cs="Arial"/>
          <w:sz w:val="24"/>
          <w:szCs w:val="24"/>
        </w:rPr>
        <w:t>work</w:t>
      </w:r>
      <w:r w:rsidRPr="00255CD0">
        <w:rPr>
          <w:rFonts w:ascii="Arial" w:hAnsi="Arial" w:cs="Arial"/>
          <w:sz w:val="24"/>
          <w:szCs w:val="24"/>
        </w:rPr>
        <w:t xml:space="preserve"> required to produce a robust cost estimate</w:t>
      </w:r>
      <w:r w:rsidR="00B42B8B" w:rsidRPr="00255CD0">
        <w:rPr>
          <w:rFonts w:ascii="Arial" w:hAnsi="Arial" w:cs="Arial"/>
          <w:sz w:val="24"/>
          <w:szCs w:val="24"/>
        </w:rPr>
        <w:t>,</w:t>
      </w:r>
      <w:r w:rsidRPr="00255CD0">
        <w:rPr>
          <w:rFonts w:ascii="Arial" w:hAnsi="Arial" w:cs="Arial"/>
          <w:sz w:val="24"/>
          <w:szCs w:val="24"/>
        </w:rPr>
        <w:t xml:space="preserve"> suitable for the business case.</w:t>
      </w:r>
    </w:p>
    <w:p w:rsidR="00D237C4" w:rsidRPr="00255CD0" w:rsidRDefault="00D237C4" w:rsidP="00103115">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 xml:space="preserve">Broughton Bypass </w:t>
      </w:r>
      <w:r w:rsidRPr="00255CD0">
        <w:rPr>
          <w:rFonts w:ascii="Arial" w:hAnsi="Arial" w:cs="Arial"/>
          <w:sz w:val="24"/>
          <w:szCs w:val="24"/>
        </w:rPr>
        <w:t>– The project completion will be delayed but the extent of the delay has not yet been confirmed.  Intensive work with the contractor is being undertaken to explore a</w:t>
      </w:r>
      <w:r w:rsidR="00667D53" w:rsidRPr="00255CD0">
        <w:rPr>
          <w:rFonts w:ascii="Arial" w:hAnsi="Arial" w:cs="Arial"/>
          <w:sz w:val="24"/>
          <w:szCs w:val="24"/>
        </w:rPr>
        <w:t>ny</w:t>
      </w:r>
      <w:r w:rsidRPr="00255CD0">
        <w:rPr>
          <w:rFonts w:ascii="Arial" w:hAnsi="Arial" w:cs="Arial"/>
          <w:sz w:val="24"/>
          <w:szCs w:val="24"/>
        </w:rPr>
        <w:t xml:space="preserve"> options for mitigation</w:t>
      </w:r>
      <w:r w:rsidR="00224E8B" w:rsidRPr="00255CD0">
        <w:rPr>
          <w:rFonts w:ascii="Arial" w:hAnsi="Arial" w:cs="Arial"/>
          <w:sz w:val="24"/>
          <w:szCs w:val="24"/>
        </w:rPr>
        <w:t xml:space="preserve"> (this is the subject of a detailed report under Part II of this agenda)</w:t>
      </w:r>
      <w:r w:rsidRPr="00255CD0">
        <w:rPr>
          <w:rFonts w:ascii="Arial" w:hAnsi="Arial" w:cs="Arial"/>
          <w:sz w:val="24"/>
          <w:szCs w:val="24"/>
        </w:rPr>
        <w:t>.</w:t>
      </w:r>
    </w:p>
    <w:p w:rsidR="00E50970" w:rsidRPr="00255CD0" w:rsidRDefault="00B90348" w:rsidP="004E2688">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 xml:space="preserve">Cuerden Strategic </w:t>
      </w:r>
      <w:r w:rsidR="00806384" w:rsidRPr="00255CD0">
        <w:rPr>
          <w:rFonts w:ascii="Arial" w:hAnsi="Arial" w:cs="Arial"/>
          <w:b/>
          <w:sz w:val="24"/>
          <w:szCs w:val="24"/>
        </w:rPr>
        <w:t>Road Infrastructure</w:t>
      </w:r>
      <w:r w:rsidR="00806384" w:rsidRPr="00255CD0">
        <w:rPr>
          <w:rFonts w:ascii="Arial" w:hAnsi="Arial" w:cs="Arial"/>
          <w:sz w:val="24"/>
          <w:szCs w:val="24"/>
        </w:rPr>
        <w:t xml:space="preserve"> – Commercial discussions are still underway which impacts on </w:t>
      </w:r>
      <w:r w:rsidR="00B42B8B" w:rsidRPr="00255CD0">
        <w:rPr>
          <w:rFonts w:ascii="Arial" w:hAnsi="Arial" w:cs="Arial"/>
          <w:sz w:val="24"/>
          <w:szCs w:val="24"/>
        </w:rPr>
        <w:t xml:space="preserve">delivery of the highway infrastructure.  </w:t>
      </w:r>
      <w:r w:rsidR="00E50970" w:rsidRPr="00255CD0">
        <w:rPr>
          <w:rFonts w:ascii="Arial" w:hAnsi="Arial" w:cs="Arial"/>
          <w:sz w:val="24"/>
          <w:szCs w:val="24"/>
        </w:rPr>
        <w:t>Concept design will now be undertaken in Q2 which may affect the timescales for design approval.</w:t>
      </w:r>
    </w:p>
    <w:p w:rsidR="00B42B8B" w:rsidRPr="00255CD0" w:rsidRDefault="00B90348" w:rsidP="00103115">
      <w:pPr>
        <w:pStyle w:val="ListParagraph"/>
        <w:numPr>
          <w:ilvl w:val="0"/>
          <w:numId w:val="4"/>
        </w:numPr>
        <w:ind w:left="993" w:hanging="142"/>
        <w:jc w:val="both"/>
        <w:rPr>
          <w:rFonts w:ascii="Arial" w:hAnsi="Arial" w:cs="Arial"/>
          <w:i/>
          <w:sz w:val="24"/>
          <w:szCs w:val="24"/>
        </w:rPr>
      </w:pPr>
      <w:proofErr w:type="spellStart"/>
      <w:r w:rsidRPr="00255CD0">
        <w:rPr>
          <w:rFonts w:ascii="Arial" w:hAnsi="Arial" w:cs="Arial"/>
          <w:b/>
          <w:sz w:val="24"/>
          <w:szCs w:val="24"/>
        </w:rPr>
        <w:t>Croston</w:t>
      </w:r>
      <w:proofErr w:type="spellEnd"/>
      <w:r w:rsidRPr="00255CD0">
        <w:rPr>
          <w:rFonts w:ascii="Arial" w:hAnsi="Arial" w:cs="Arial"/>
          <w:b/>
          <w:sz w:val="24"/>
          <w:szCs w:val="24"/>
        </w:rPr>
        <w:t xml:space="preserve"> Road Spine Road </w:t>
      </w:r>
      <w:r w:rsidR="00324593" w:rsidRPr="00255CD0">
        <w:rPr>
          <w:rFonts w:ascii="Arial" w:hAnsi="Arial" w:cs="Arial"/>
          <w:sz w:val="24"/>
          <w:szCs w:val="24"/>
        </w:rPr>
        <w:t>–</w:t>
      </w:r>
      <w:r w:rsidRPr="00255CD0">
        <w:rPr>
          <w:rFonts w:ascii="Arial" w:hAnsi="Arial" w:cs="Arial"/>
          <w:sz w:val="24"/>
          <w:szCs w:val="24"/>
        </w:rPr>
        <w:t xml:space="preserve"> </w:t>
      </w:r>
      <w:r w:rsidR="00324593" w:rsidRPr="00255CD0">
        <w:rPr>
          <w:rFonts w:ascii="Arial" w:hAnsi="Arial" w:cs="Arial"/>
          <w:sz w:val="24"/>
          <w:szCs w:val="24"/>
        </w:rPr>
        <w:t xml:space="preserve">This scheme </w:t>
      </w:r>
      <w:r w:rsidR="00224E8B" w:rsidRPr="00255CD0">
        <w:rPr>
          <w:rFonts w:ascii="Arial" w:hAnsi="Arial" w:cs="Arial"/>
          <w:sz w:val="24"/>
          <w:szCs w:val="24"/>
        </w:rPr>
        <w:t xml:space="preserve">did </w:t>
      </w:r>
      <w:r w:rsidR="00324593" w:rsidRPr="00255CD0">
        <w:rPr>
          <w:rFonts w:ascii="Arial" w:hAnsi="Arial" w:cs="Arial"/>
          <w:sz w:val="24"/>
          <w:szCs w:val="24"/>
        </w:rPr>
        <w:t>not start on site</w:t>
      </w:r>
      <w:r w:rsidR="00224E8B" w:rsidRPr="00255CD0">
        <w:rPr>
          <w:rFonts w:ascii="Arial" w:hAnsi="Arial" w:cs="Arial"/>
          <w:sz w:val="24"/>
          <w:szCs w:val="24"/>
        </w:rPr>
        <w:t xml:space="preserve"> during Q1 </w:t>
      </w:r>
      <w:r w:rsidR="00324593" w:rsidRPr="00255CD0">
        <w:rPr>
          <w:rFonts w:ascii="Arial" w:hAnsi="Arial" w:cs="Arial"/>
          <w:sz w:val="24"/>
          <w:szCs w:val="24"/>
        </w:rPr>
        <w:t>as</w:t>
      </w:r>
      <w:r w:rsidR="00224E8B" w:rsidRPr="00255CD0">
        <w:rPr>
          <w:rFonts w:ascii="Arial" w:hAnsi="Arial" w:cs="Arial"/>
          <w:sz w:val="24"/>
          <w:szCs w:val="24"/>
        </w:rPr>
        <w:t xml:space="preserve"> originally</w:t>
      </w:r>
      <w:r w:rsidR="0016668D" w:rsidRPr="00255CD0">
        <w:rPr>
          <w:rFonts w:ascii="Arial" w:hAnsi="Arial" w:cs="Arial"/>
          <w:sz w:val="24"/>
          <w:szCs w:val="24"/>
        </w:rPr>
        <w:t xml:space="preserve"> </w:t>
      </w:r>
      <w:r w:rsidR="00324593" w:rsidRPr="00255CD0">
        <w:rPr>
          <w:rFonts w:ascii="Arial" w:hAnsi="Arial" w:cs="Arial"/>
          <w:sz w:val="24"/>
          <w:szCs w:val="24"/>
        </w:rPr>
        <w:t xml:space="preserve"> planned due to commercial discussions which have now been resolved.  </w:t>
      </w:r>
      <w:r w:rsidR="009C68FA" w:rsidRPr="00255CD0">
        <w:rPr>
          <w:rFonts w:ascii="Arial" w:hAnsi="Arial" w:cs="Arial"/>
          <w:sz w:val="24"/>
          <w:szCs w:val="24"/>
        </w:rPr>
        <w:t xml:space="preserve">The revised start </w:t>
      </w:r>
      <w:r w:rsidR="00D237C4" w:rsidRPr="00255CD0">
        <w:rPr>
          <w:rFonts w:ascii="Arial" w:hAnsi="Arial" w:cs="Arial"/>
          <w:sz w:val="24"/>
          <w:szCs w:val="24"/>
        </w:rPr>
        <w:t>on site date is September 2016 which consequently results in a delayed completion date of Q1 17/18.</w:t>
      </w:r>
    </w:p>
    <w:p w:rsidR="00255CD0" w:rsidRDefault="00B42B8B" w:rsidP="00255CD0">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Moss Side Test Track</w:t>
      </w:r>
      <w:r w:rsidR="00B90348" w:rsidRPr="00255CD0">
        <w:rPr>
          <w:rFonts w:ascii="Arial" w:hAnsi="Arial" w:cs="Arial"/>
          <w:b/>
          <w:sz w:val="24"/>
          <w:szCs w:val="24"/>
        </w:rPr>
        <w:t xml:space="preserve"> Road Infrastructure</w:t>
      </w:r>
      <w:r w:rsidR="00B90348" w:rsidRPr="00255CD0">
        <w:rPr>
          <w:rFonts w:ascii="Arial" w:hAnsi="Arial" w:cs="Arial"/>
          <w:sz w:val="24"/>
          <w:szCs w:val="24"/>
        </w:rPr>
        <w:t xml:space="preserve"> – This scheme will not reach concept design stage </w:t>
      </w:r>
      <w:r w:rsidR="00E50970" w:rsidRPr="00255CD0">
        <w:rPr>
          <w:rFonts w:ascii="Arial" w:hAnsi="Arial" w:cs="Arial"/>
          <w:sz w:val="24"/>
          <w:szCs w:val="24"/>
        </w:rPr>
        <w:t>until the master planning exercise has concluded</w:t>
      </w:r>
      <w:r w:rsidR="009C68FA" w:rsidRPr="00255CD0">
        <w:rPr>
          <w:rFonts w:ascii="Arial" w:hAnsi="Arial" w:cs="Arial"/>
          <w:sz w:val="24"/>
          <w:szCs w:val="24"/>
        </w:rPr>
        <w:t>.  This scheme will need to be reprogrammed once the master planning has commenced.</w:t>
      </w:r>
    </w:p>
    <w:p w:rsidR="00FC16DF" w:rsidRPr="00255CD0" w:rsidRDefault="00716021" w:rsidP="00255CD0">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 xml:space="preserve">Preston Bus Station Refurbishment and Redevelopment of Concourse – </w:t>
      </w:r>
      <w:r w:rsidR="00FC16DF" w:rsidRPr="00255CD0">
        <w:rPr>
          <w:rFonts w:ascii="Arial" w:hAnsi="Arial" w:cs="Arial"/>
          <w:sz w:val="24"/>
          <w:szCs w:val="24"/>
        </w:rPr>
        <w:t>This was ragged Amber in the monitoring report as the timescale to submit the planning application was considered to be challenging but, it was submitted within the programme timescales in Sept 2016.</w:t>
      </w:r>
    </w:p>
    <w:p w:rsidR="004578CF" w:rsidRPr="00255CD0" w:rsidRDefault="004578CF" w:rsidP="004578CF">
      <w:pPr>
        <w:pStyle w:val="ListParagraph"/>
        <w:numPr>
          <w:ilvl w:val="0"/>
          <w:numId w:val="4"/>
        </w:numPr>
        <w:ind w:left="993" w:hanging="142"/>
        <w:jc w:val="both"/>
        <w:rPr>
          <w:rFonts w:ascii="Arial" w:hAnsi="Arial" w:cs="Arial"/>
          <w:i/>
          <w:sz w:val="24"/>
          <w:szCs w:val="24"/>
        </w:rPr>
      </w:pPr>
      <w:proofErr w:type="spellStart"/>
      <w:r w:rsidRPr="00255CD0">
        <w:rPr>
          <w:rFonts w:ascii="Arial" w:hAnsi="Arial" w:cs="Arial"/>
          <w:b/>
          <w:sz w:val="24"/>
          <w:szCs w:val="24"/>
        </w:rPr>
        <w:t>Fishergate</w:t>
      </w:r>
      <w:proofErr w:type="spellEnd"/>
      <w:r w:rsidRPr="00255CD0">
        <w:rPr>
          <w:rFonts w:ascii="Arial" w:hAnsi="Arial" w:cs="Arial"/>
          <w:b/>
          <w:sz w:val="24"/>
          <w:szCs w:val="24"/>
        </w:rPr>
        <w:t xml:space="preserve"> </w:t>
      </w:r>
      <w:proofErr w:type="spellStart"/>
      <w:r w:rsidRPr="00255CD0">
        <w:rPr>
          <w:rFonts w:ascii="Arial" w:hAnsi="Arial" w:cs="Arial"/>
          <w:b/>
          <w:sz w:val="24"/>
          <w:szCs w:val="24"/>
        </w:rPr>
        <w:t>Winckley</w:t>
      </w:r>
      <w:proofErr w:type="spellEnd"/>
      <w:r w:rsidRPr="00255CD0">
        <w:rPr>
          <w:rFonts w:ascii="Arial" w:hAnsi="Arial" w:cs="Arial"/>
          <w:b/>
          <w:sz w:val="24"/>
          <w:szCs w:val="24"/>
        </w:rPr>
        <w:t xml:space="preserve"> Square THI – Cannon Street</w:t>
      </w:r>
      <w:r w:rsidRPr="00255CD0">
        <w:rPr>
          <w:rFonts w:ascii="Arial" w:hAnsi="Arial" w:cs="Arial"/>
          <w:sz w:val="24"/>
          <w:szCs w:val="24"/>
        </w:rPr>
        <w:t xml:space="preserve"> – </w:t>
      </w:r>
      <w:r w:rsidR="0016668D" w:rsidRPr="00255CD0">
        <w:rPr>
          <w:rFonts w:ascii="Arial" w:hAnsi="Arial" w:cs="Arial"/>
          <w:sz w:val="24"/>
          <w:szCs w:val="24"/>
        </w:rPr>
        <w:t xml:space="preserve">There is a </w:t>
      </w:r>
      <w:r w:rsidRPr="00255CD0">
        <w:rPr>
          <w:rFonts w:ascii="Arial" w:hAnsi="Arial" w:cs="Arial"/>
          <w:sz w:val="24"/>
          <w:szCs w:val="24"/>
        </w:rPr>
        <w:t xml:space="preserve">funding shortfall on this scheme which </w:t>
      </w:r>
      <w:r w:rsidR="0016668D" w:rsidRPr="00255CD0">
        <w:rPr>
          <w:rFonts w:ascii="Arial" w:hAnsi="Arial" w:cs="Arial"/>
          <w:sz w:val="24"/>
          <w:szCs w:val="24"/>
        </w:rPr>
        <w:t>is discussed in more detail later in this report.</w:t>
      </w:r>
    </w:p>
    <w:p w:rsidR="002F6B7E" w:rsidRPr="00255CD0" w:rsidRDefault="00324593" w:rsidP="000E1F1E">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 xml:space="preserve">South of </w:t>
      </w:r>
      <w:proofErr w:type="spellStart"/>
      <w:r w:rsidRPr="00255CD0">
        <w:rPr>
          <w:rFonts w:ascii="Arial" w:hAnsi="Arial" w:cs="Arial"/>
          <w:b/>
          <w:sz w:val="24"/>
          <w:szCs w:val="24"/>
        </w:rPr>
        <w:t>Lostock</w:t>
      </w:r>
      <w:proofErr w:type="spellEnd"/>
      <w:r w:rsidRPr="00255CD0">
        <w:rPr>
          <w:rFonts w:ascii="Arial" w:hAnsi="Arial" w:cs="Arial"/>
          <w:b/>
          <w:sz w:val="24"/>
          <w:szCs w:val="24"/>
        </w:rPr>
        <w:t xml:space="preserve"> Lane Corridor Works</w:t>
      </w:r>
      <w:r w:rsidRPr="00255CD0">
        <w:rPr>
          <w:rFonts w:ascii="Arial" w:hAnsi="Arial" w:cs="Arial"/>
          <w:sz w:val="24"/>
          <w:szCs w:val="24"/>
        </w:rPr>
        <w:t xml:space="preserve"> – Consultation not achieved in Q1 due to a redirection of SRBC resources onto Bamber Bridge corridor works.  The South of </w:t>
      </w:r>
      <w:proofErr w:type="spellStart"/>
      <w:r w:rsidRPr="00255CD0">
        <w:rPr>
          <w:rFonts w:ascii="Arial" w:hAnsi="Arial" w:cs="Arial"/>
          <w:sz w:val="24"/>
          <w:szCs w:val="24"/>
        </w:rPr>
        <w:t>Lostock</w:t>
      </w:r>
      <w:proofErr w:type="spellEnd"/>
      <w:r w:rsidRPr="00255CD0">
        <w:rPr>
          <w:rFonts w:ascii="Arial" w:hAnsi="Arial" w:cs="Arial"/>
          <w:sz w:val="24"/>
          <w:szCs w:val="24"/>
        </w:rPr>
        <w:t xml:space="preserve"> Lane Corridor works </w:t>
      </w:r>
      <w:r w:rsidR="002F6B7E" w:rsidRPr="00255CD0">
        <w:rPr>
          <w:rFonts w:ascii="Arial" w:hAnsi="Arial" w:cs="Arial"/>
          <w:sz w:val="24"/>
          <w:szCs w:val="24"/>
        </w:rPr>
        <w:t>will be re-programmed.</w:t>
      </w:r>
    </w:p>
    <w:p w:rsidR="00324593" w:rsidRPr="00255CD0" w:rsidRDefault="00324593" w:rsidP="000E1F1E">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Hutton/Higher Penwortham Corridor Works</w:t>
      </w:r>
      <w:r w:rsidRPr="00255CD0">
        <w:rPr>
          <w:rFonts w:ascii="Arial" w:hAnsi="Arial" w:cs="Arial"/>
          <w:sz w:val="24"/>
          <w:szCs w:val="24"/>
        </w:rPr>
        <w:t xml:space="preserve"> – Consultation has taken place as part of the Penwortham Bypass consultation.  However, detailed design work programmed for Q2 is proposed to be deferred as</w:t>
      </w:r>
      <w:r w:rsidR="00D82A93" w:rsidRPr="00255CD0">
        <w:rPr>
          <w:rFonts w:ascii="Arial" w:hAnsi="Arial" w:cs="Arial"/>
          <w:sz w:val="24"/>
          <w:szCs w:val="24"/>
        </w:rPr>
        <w:t xml:space="preserve"> it is recommended</w:t>
      </w:r>
      <w:r w:rsidR="00667D53" w:rsidRPr="00255CD0">
        <w:rPr>
          <w:rFonts w:ascii="Arial" w:hAnsi="Arial" w:cs="Arial"/>
          <w:sz w:val="24"/>
          <w:szCs w:val="24"/>
        </w:rPr>
        <w:t xml:space="preserve"> that the corridor works </w:t>
      </w:r>
      <w:r w:rsidRPr="00255CD0">
        <w:rPr>
          <w:rFonts w:ascii="Arial" w:hAnsi="Arial" w:cs="Arial"/>
          <w:sz w:val="24"/>
          <w:szCs w:val="24"/>
        </w:rPr>
        <w:t>follow the completion of the Bypass.</w:t>
      </w:r>
    </w:p>
    <w:p w:rsidR="00FA7B5B" w:rsidRPr="00255CD0" w:rsidRDefault="00324593" w:rsidP="00103115">
      <w:pPr>
        <w:ind w:left="1440" w:hanging="447"/>
        <w:jc w:val="both"/>
        <w:rPr>
          <w:rFonts w:ascii="Arial" w:hAnsi="Arial" w:cs="Arial"/>
          <w:b/>
          <w:sz w:val="24"/>
          <w:szCs w:val="24"/>
        </w:rPr>
      </w:pPr>
      <w:r w:rsidRPr="00255CD0">
        <w:rPr>
          <w:rFonts w:ascii="Arial" w:hAnsi="Arial" w:cs="Arial"/>
          <w:b/>
          <w:sz w:val="24"/>
          <w:szCs w:val="24"/>
        </w:rPr>
        <w:t>Community Infrastructure</w:t>
      </w:r>
    </w:p>
    <w:p w:rsidR="00EA59D4" w:rsidRPr="00255CD0" w:rsidRDefault="00EA59D4" w:rsidP="004578CF">
      <w:pPr>
        <w:pStyle w:val="ListParagraph"/>
        <w:numPr>
          <w:ilvl w:val="0"/>
          <w:numId w:val="4"/>
        </w:numPr>
        <w:ind w:left="993" w:hanging="142"/>
        <w:jc w:val="both"/>
        <w:rPr>
          <w:rFonts w:ascii="Arial" w:hAnsi="Arial" w:cs="Arial"/>
          <w:sz w:val="24"/>
          <w:szCs w:val="24"/>
        </w:rPr>
      </w:pPr>
      <w:proofErr w:type="spellStart"/>
      <w:r w:rsidRPr="00255CD0">
        <w:rPr>
          <w:rFonts w:ascii="Arial" w:hAnsi="Arial" w:cs="Arial"/>
          <w:b/>
          <w:sz w:val="24"/>
          <w:szCs w:val="24"/>
        </w:rPr>
        <w:t>Grimsargh</w:t>
      </w:r>
      <w:proofErr w:type="spellEnd"/>
      <w:r w:rsidRPr="00255CD0">
        <w:rPr>
          <w:rFonts w:ascii="Arial" w:hAnsi="Arial" w:cs="Arial"/>
          <w:b/>
          <w:sz w:val="24"/>
          <w:szCs w:val="24"/>
        </w:rPr>
        <w:t xml:space="preserve"> Green</w:t>
      </w:r>
      <w:r w:rsidRPr="00255CD0">
        <w:rPr>
          <w:rFonts w:ascii="Arial" w:hAnsi="Arial" w:cs="Arial"/>
          <w:sz w:val="24"/>
          <w:szCs w:val="24"/>
        </w:rPr>
        <w:t xml:space="preserve"> – Commencement of works slipped to Q4 as 106 agreement not yet in place.  Completion of contract documents</w:t>
      </w:r>
      <w:r w:rsidR="004578CF" w:rsidRPr="00255CD0">
        <w:rPr>
          <w:rFonts w:ascii="Arial" w:hAnsi="Arial" w:cs="Arial"/>
          <w:sz w:val="24"/>
          <w:szCs w:val="24"/>
        </w:rPr>
        <w:t xml:space="preserve"> and awarding of contract to take place in Q3.</w:t>
      </w:r>
    </w:p>
    <w:p w:rsidR="00103115" w:rsidRPr="00255CD0" w:rsidRDefault="00103115" w:rsidP="004578CF">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 xml:space="preserve">East Cliff Cycle Hub </w:t>
      </w:r>
      <w:r w:rsidR="00E50970" w:rsidRPr="00255CD0">
        <w:rPr>
          <w:rFonts w:ascii="Arial" w:hAnsi="Arial" w:cs="Arial"/>
          <w:b/>
          <w:sz w:val="24"/>
          <w:szCs w:val="24"/>
        </w:rPr>
        <w:t xml:space="preserve">– </w:t>
      </w:r>
      <w:r w:rsidR="00E50970" w:rsidRPr="00255CD0">
        <w:rPr>
          <w:rFonts w:ascii="Arial" w:hAnsi="Arial" w:cs="Arial"/>
          <w:sz w:val="24"/>
          <w:szCs w:val="24"/>
        </w:rPr>
        <w:t xml:space="preserve">Construction underway, </w:t>
      </w:r>
      <w:r w:rsidR="00F50983" w:rsidRPr="00255CD0">
        <w:rPr>
          <w:rFonts w:ascii="Arial" w:hAnsi="Arial" w:cs="Arial"/>
          <w:sz w:val="24"/>
          <w:szCs w:val="24"/>
        </w:rPr>
        <w:t>but</w:t>
      </w:r>
      <w:r w:rsidR="00E50970" w:rsidRPr="00255CD0">
        <w:rPr>
          <w:rFonts w:ascii="Arial" w:hAnsi="Arial" w:cs="Arial"/>
          <w:sz w:val="24"/>
          <w:szCs w:val="24"/>
        </w:rPr>
        <w:t xml:space="preserve"> completion now anticipated in </w:t>
      </w:r>
      <w:r w:rsidR="00F50983" w:rsidRPr="00255CD0">
        <w:rPr>
          <w:rFonts w:ascii="Arial" w:hAnsi="Arial" w:cs="Arial"/>
          <w:sz w:val="24"/>
          <w:szCs w:val="24"/>
        </w:rPr>
        <w:t>Q2.</w:t>
      </w:r>
    </w:p>
    <w:p w:rsidR="00103115" w:rsidRPr="00255CD0" w:rsidRDefault="00103115" w:rsidP="004578CF">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lastRenderedPageBreak/>
        <w:t>East Cliff Cycle Link and Bridge –</w:t>
      </w:r>
      <w:r w:rsidRPr="00255CD0">
        <w:rPr>
          <w:rFonts w:ascii="Arial" w:hAnsi="Arial" w:cs="Arial"/>
          <w:sz w:val="24"/>
          <w:szCs w:val="24"/>
        </w:rPr>
        <w:t xml:space="preserve"> </w:t>
      </w:r>
      <w:r w:rsidR="00F70E84" w:rsidRPr="00255CD0">
        <w:rPr>
          <w:rFonts w:ascii="Arial" w:hAnsi="Arial" w:cs="Arial"/>
          <w:sz w:val="24"/>
          <w:szCs w:val="24"/>
        </w:rPr>
        <w:t xml:space="preserve">There is a </w:t>
      </w:r>
      <w:r w:rsidR="00B04E38" w:rsidRPr="00255CD0">
        <w:rPr>
          <w:rFonts w:ascii="Arial" w:hAnsi="Arial" w:cs="Arial"/>
          <w:sz w:val="24"/>
          <w:szCs w:val="24"/>
        </w:rPr>
        <w:t>funding s</w:t>
      </w:r>
      <w:r w:rsidR="004578CF" w:rsidRPr="00255CD0">
        <w:rPr>
          <w:rFonts w:ascii="Arial" w:hAnsi="Arial" w:cs="Arial"/>
          <w:sz w:val="24"/>
          <w:szCs w:val="24"/>
        </w:rPr>
        <w:t xml:space="preserve">hortfall </w:t>
      </w:r>
      <w:r w:rsidR="00F70E84" w:rsidRPr="00255CD0">
        <w:rPr>
          <w:rFonts w:ascii="Arial" w:hAnsi="Arial" w:cs="Arial"/>
          <w:sz w:val="24"/>
          <w:szCs w:val="24"/>
        </w:rPr>
        <w:t xml:space="preserve">for the Cycle link element of this </w:t>
      </w:r>
      <w:r w:rsidR="004578CF" w:rsidRPr="00255CD0">
        <w:rPr>
          <w:rFonts w:ascii="Arial" w:hAnsi="Arial" w:cs="Arial"/>
          <w:sz w:val="24"/>
          <w:szCs w:val="24"/>
        </w:rPr>
        <w:t>scheme</w:t>
      </w:r>
      <w:r w:rsidR="00F70E84" w:rsidRPr="00255CD0">
        <w:rPr>
          <w:rFonts w:ascii="Arial" w:hAnsi="Arial" w:cs="Arial"/>
          <w:sz w:val="24"/>
          <w:szCs w:val="24"/>
        </w:rPr>
        <w:t xml:space="preserve"> which is discussed in more detail later in this report</w:t>
      </w:r>
      <w:r w:rsidR="004578CF" w:rsidRPr="00255CD0">
        <w:rPr>
          <w:rFonts w:ascii="Arial" w:hAnsi="Arial" w:cs="Arial"/>
          <w:sz w:val="24"/>
          <w:szCs w:val="24"/>
        </w:rPr>
        <w:t xml:space="preserve">.  </w:t>
      </w:r>
      <w:r w:rsidR="00F70E84" w:rsidRPr="00255CD0">
        <w:rPr>
          <w:rFonts w:ascii="Arial" w:hAnsi="Arial" w:cs="Arial"/>
          <w:sz w:val="24"/>
          <w:szCs w:val="24"/>
        </w:rPr>
        <w:t>In terms of the Bridge, the p</w:t>
      </w:r>
      <w:r w:rsidRPr="00255CD0">
        <w:rPr>
          <w:rFonts w:ascii="Arial" w:hAnsi="Arial" w:cs="Arial"/>
          <w:sz w:val="24"/>
          <w:szCs w:val="24"/>
        </w:rPr>
        <w:t xml:space="preserve">lanning application </w:t>
      </w:r>
      <w:r w:rsidR="002F6B7E" w:rsidRPr="00255CD0">
        <w:rPr>
          <w:rFonts w:ascii="Arial" w:hAnsi="Arial" w:cs="Arial"/>
          <w:sz w:val="24"/>
          <w:szCs w:val="24"/>
        </w:rPr>
        <w:t>was</w:t>
      </w:r>
      <w:r w:rsidR="00F70E84" w:rsidRPr="00255CD0">
        <w:rPr>
          <w:rFonts w:ascii="Arial" w:hAnsi="Arial" w:cs="Arial"/>
          <w:sz w:val="24"/>
          <w:szCs w:val="24"/>
        </w:rPr>
        <w:t xml:space="preserve"> </w:t>
      </w:r>
      <w:r w:rsidRPr="00255CD0">
        <w:rPr>
          <w:rFonts w:ascii="Arial" w:hAnsi="Arial" w:cs="Arial"/>
          <w:sz w:val="24"/>
          <w:szCs w:val="24"/>
        </w:rPr>
        <w:t xml:space="preserve">delayed </w:t>
      </w:r>
      <w:r w:rsidR="00C319E5" w:rsidRPr="00255CD0">
        <w:rPr>
          <w:rFonts w:ascii="Arial" w:hAnsi="Arial" w:cs="Arial"/>
          <w:sz w:val="24"/>
          <w:szCs w:val="24"/>
        </w:rPr>
        <w:t>d</w:t>
      </w:r>
      <w:r w:rsidRPr="00255CD0">
        <w:rPr>
          <w:rFonts w:ascii="Arial" w:hAnsi="Arial" w:cs="Arial"/>
          <w:sz w:val="24"/>
          <w:szCs w:val="24"/>
        </w:rPr>
        <w:t>ue to conf</w:t>
      </w:r>
      <w:r w:rsidR="00F50983" w:rsidRPr="00255CD0">
        <w:rPr>
          <w:rFonts w:ascii="Arial" w:hAnsi="Arial" w:cs="Arial"/>
          <w:sz w:val="24"/>
          <w:szCs w:val="24"/>
        </w:rPr>
        <w:t>irmation of sale of East Cliff which</w:t>
      </w:r>
      <w:r w:rsidRPr="00255CD0">
        <w:rPr>
          <w:rFonts w:ascii="Arial" w:hAnsi="Arial" w:cs="Arial"/>
          <w:sz w:val="24"/>
          <w:szCs w:val="24"/>
        </w:rPr>
        <w:t xml:space="preserve"> will affect future milestones. </w:t>
      </w:r>
      <w:r w:rsidR="004578CF" w:rsidRPr="00255CD0">
        <w:rPr>
          <w:rFonts w:ascii="Arial" w:hAnsi="Arial" w:cs="Arial"/>
          <w:sz w:val="24"/>
          <w:szCs w:val="24"/>
        </w:rPr>
        <w:t>The proje</w:t>
      </w:r>
      <w:r w:rsidR="00F70E84" w:rsidRPr="00255CD0">
        <w:rPr>
          <w:rFonts w:ascii="Arial" w:hAnsi="Arial" w:cs="Arial"/>
          <w:sz w:val="24"/>
          <w:szCs w:val="24"/>
        </w:rPr>
        <w:t>ct has been separated out into two</w:t>
      </w:r>
      <w:r w:rsidR="004578CF" w:rsidRPr="00255CD0">
        <w:rPr>
          <w:rFonts w:ascii="Arial" w:hAnsi="Arial" w:cs="Arial"/>
          <w:sz w:val="24"/>
          <w:szCs w:val="24"/>
        </w:rPr>
        <w:t xml:space="preserve"> schemes and costings an</w:t>
      </w:r>
      <w:r w:rsidR="00F70E84" w:rsidRPr="00255CD0">
        <w:rPr>
          <w:rFonts w:ascii="Arial" w:hAnsi="Arial" w:cs="Arial"/>
          <w:sz w:val="24"/>
          <w:szCs w:val="24"/>
        </w:rPr>
        <w:t>d delivery milestones clarified in the updated Infrastructure Delivery Plan</w:t>
      </w:r>
      <w:r w:rsidR="00D82A93" w:rsidRPr="00255CD0">
        <w:rPr>
          <w:rFonts w:ascii="Arial" w:hAnsi="Arial" w:cs="Arial"/>
          <w:sz w:val="24"/>
          <w:szCs w:val="24"/>
        </w:rPr>
        <w:t>.</w:t>
      </w:r>
    </w:p>
    <w:p w:rsidR="00103115" w:rsidRPr="00255CD0" w:rsidRDefault="00103115" w:rsidP="004578CF">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Landmark Features – Lorry Pop</w:t>
      </w:r>
      <w:r w:rsidRPr="00255CD0">
        <w:rPr>
          <w:rFonts w:ascii="Arial" w:hAnsi="Arial" w:cs="Arial"/>
          <w:sz w:val="24"/>
          <w:szCs w:val="24"/>
        </w:rPr>
        <w:t xml:space="preserve"> – Scheme cancelled due to viability issues.  Landowner does not wish to proceed.</w:t>
      </w:r>
    </w:p>
    <w:p w:rsidR="002F6B7E" w:rsidRPr="00255CD0" w:rsidRDefault="00103115" w:rsidP="00546D86">
      <w:pPr>
        <w:pStyle w:val="ListParagraph"/>
        <w:numPr>
          <w:ilvl w:val="0"/>
          <w:numId w:val="4"/>
        </w:numPr>
        <w:ind w:left="993" w:hanging="142"/>
        <w:jc w:val="both"/>
        <w:rPr>
          <w:rFonts w:ascii="Arial" w:hAnsi="Arial" w:cs="Arial"/>
          <w:sz w:val="24"/>
          <w:szCs w:val="24"/>
        </w:rPr>
      </w:pPr>
      <w:r w:rsidRPr="00255CD0">
        <w:rPr>
          <w:rFonts w:ascii="Arial" w:hAnsi="Arial" w:cs="Arial"/>
          <w:b/>
          <w:sz w:val="24"/>
          <w:szCs w:val="24"/>
        </w:rPr>
        <w:t>Landmark Features – Iron Horse</w:t>
      </w:r>
      <w:r w:rsidRPr="00255CD0">
        <w:rPr>
          <w:rFonts w:ascii="Arial" w:hAnsi="Arial" w:cs="Arial"/>
          <w:sz w:val="24"/>
          <w:szCs w:val="24"/>
        </w:rPr>
        <w:t xml:space="preserve"> </w:t>
      </w:r>
      <w:r w:rsidR="00467DA1" w:rsidRPr="00255CD0">
        <w:rPr>
          <w:rFonts w:ascii="Arial" w:hAnsi="Arial" w:cs="Arial"/>
          <w:sz w:val="24"/>
          <w:szCs w:val="24"/>
        </w:rPr>
        <w:t>–</w:t>
      </w:r>
      <w:r w:rsidRPr="00255CD0">
        <w:rPr>
          <w:rFonts w:ascii="Arial" w:hAnsi="Arial" w:cs="Arial"/>
          <w:sz w:val="24"/>
          <w:szCs w:val="24"/>
        </w:rPr>
        <w:t xml:space="preserve"> </w:t>
      </w:r>
      <w:r w:rsidR="00467DA1" w:rsidRPr="00255CD0">
        <w:rPr>
          <w:rFonts w:ascii="Arial" w:hAnsi="Arial" w:cs="Arial"/>
          <w:sz w:val="24"/>
          <w:szCs w:val="24"/>
        </w:rPr>
        <w:t>Scheme delayed as originally being managed as joint procurement exercise with the Lorry Pop.  This will now be reprogrammed.</w:t>
      </w:r>
    </w:p>
    <w:tbl>
      <w:tblPr>
        <w:tblStyle w:val="TableGrid"/>
        <w:tblW w:w="0" w:type="auto"/>
        <w:tblInd w:w="-5" w:type="dxa"/>
        <w:tblLook w:val="04A0" w:firstRow="1" w:lastRow="0" w:firstColumn="1" w:lastColumn="0" w:noHBand="0" w:noVBand="1"/>
      </w:tblPr>
      <w:tblGrid>
        <w:gridCol w:w="9021"/>
      </w:tblGrid>
      <w:tr w:rsidR="00CF56E1" w:rsidRPr="00255CD0" w:rsidTr="00CF56E1">
        <w:tc>
          <w:tcPr>
            <w:tcW w:w="9021" w:type="dxa"/>
          </w:tcPr>
          <w:p w:rsidR="00CF56E1" w:rsidRPr="00255CD0" w:rsidRDefault="00CF56E1" w:rsidP="00CF56E1">
            <w:pPr>
              <w:ind w:left="567" w:hanging="567"/>
              <w:jc w:val="both"/>
              <w:rPr>
                <w:rFonts w:ascii="Arial" w:hAnsi="Arial" w:cs="Arial"/>
                <w:b/>
                <w:sz w:val="24"/>
                <w:szCs w:val="24"/>
              </w:rPr>
            </w:pPr>
            <w:r w:rsidRPr="00255CD0">
              <w:rPr>
                <w:rFonts w:ascii="Arial" w:hAnsi="Arial" w:cs="Arial"/>
                <w:b/>
                <w:sz w:val="24"/>
                <w:szCs w:val="24"/>
              </w:rPr>
              <w:t>1.6</w:t>
            </w:r>
            <w:r w:rsidRPr="00255CD0">
              <w:rPr>
                <w:rFonts w:ascii="Arial" w:hAnsi="Arial" w:cs="Arial"/>
                <w:b/>
                <w:sz w:val="24"/>
                <w:szCs w:val="24"/>
              </w:rPr>
              <w:tab/>
              <w:t>Recommendation</w:t>
            </w:r>
          </w:p>
          <w:p w:rsidR="00CF56E1" w:rsidRPr="00255CD0" w:rsidRDefault="00CF56E1" w:rsidP="00CF56E1">
            <w:pPr>
              <w:ind w:left="567" w:hanging="567"/>
              <w:jc w:val="both"/>
              <w:rPr>
                <w:rFonts w:ascii="Arial" w:hAnsi="Arial" w:cs="Arial"/>
                <w:b/>
                <w:sz w:val="24"/>
                <w:szCs w:val="24"/>
              </w:rPr>
            </w:pPr>
          </w:p>
          <w:p w:rsidR="00CF56E1" w:rsidRPr="00255CD0" w:rsidRDefault="00CF56E1" w:rsidP="00835933">
            <w:pPr>
              <w:ind w:left="567" w:hanging="567"/>
              <w:jc w:val="both"/>
              <w:rPr>
                <w:rFonts w:ascii="Arial" w:hAnsi="Arial" w:cs="Arial"/>
                <w:sz w:val="24"/>
                <w:szCs w:val="24"/>
              </w:rPr>
            </w:pPr>
            <w:r w:rsidRPr="00255CD0">
              <w:rPr>
                <w:rFonts w:ascii="Arial" w:hAnsi="Arial" w:cs="Arial"/>
                <w:b/>
                <w:sz w:val="24"/>
                <w:szCs w:val="24"/>
              </w:rPr>
              <w:tab/>
              <w:t>The E&amp;SB is asked to note the Q1 Monitoring Report for the period April-June 2016.</w:t>
            </w:r>
            <w:r w:rsidRPr="00255CD0">
              <w:rPr>
                <w:rFonts w:ascii="Arial" w:hAnsi="Arial" w:cs="Arial"/>
                <w:b/>
                <w:sz w:val="24"/>
                <w:szCs w:val="24"/>
              </w:rPr>
              <w:tab/>
            </w:r>
          </w:p>
        </w:tc>
      </w:tr>
    </w:tbl>
    <w:p w:rsidR="0083799F" w:rsidRPr="00255CD0" w:rsidRDefault="0083799F" w:rsidP="00DB36BC">
      <w:pPr>
        <w:jc w:val="both"/>
        <w:rPr>
          <w:rFonts w:ascii="Arial" w:hAnsi="Arial" w:cs="Arial"/>
          <w:b/>
          <w:sz w:val="24"/>
          <w:szCs w:val="24"/>
        </w:rPr>
      </w:pPr>
    </w:p>
    <w:p w:rsidR="00270806" w:rsidRPr="00255CD0" w:rsidRDefault="008308FB" w:rsidP="00270806">
      <w:pPr>
        <w:ind w:left="567" w:hanging="567"/>
        <w:jc w:val="both"/>
        <w:rPr>
          <w:rFonts w:ascii="Arial" w:hAnsi="Arial" w:cs="Arial"/>
          <w:b/>
          <w:sz w:val="24"/>
          <w:szCs w:val="24"/>
        </w:rPr>
      </w:pPr>
      <w:r w:rsidRPr="00255CD0">
        <w:rPr>
          <w:rFonts w:ascii="Arial" w:hAnsi="Arial" w:cs="Arial"/>
          <w:b/>
          <w:sz w:val="24"/>
          <w:szCs w:val="24"/>
        </w:rPr>
        <w:t>2</w:t>
      </w:r>
      <w:r w:rsidR="00E571A4" w:rsidRPr="00255CD0">
        <w:rPr>
          <w:rFonts w:ascii="Arial" w:hAnsi="Arial" w:cs="Arial"/>
          <w:b/>
          <w:sz w:val="24"/>
          <w:szCs w:val="24"/>
        </w:rPr>
        <w:t>.</w:t>
      </w:r>
      <w:r w:rsidR="00E571A4" w:rsidRPr="00255CD0">
        <w:rPr>
          <w:rFonts w:ascii="Arial" w:hAnsi="Arial" w:cs="Arial"/>
          <w:b/>
          <w:sz w:val="24"/>
          <w:szCs w:val="24"/>
        </w:rPr>
        <w:tab/>
      </w:r>
      <w:r w:rsidR="00E571A4" w:rsidRPr="00255CD0">
        <w:rPr>
          <w:rFonts w:ascii="Arial" w:hAnsi="Arial" w:cs="Arial"/>
          <w:b/>
          <w:sz w:val="24"/>
          <w:szCs w:val="24"/>
        </w:rPr>
        <w:tab/>
      </w:r>
      <w:r w:rsidR="00270806" w:rsidRPr="00255CD0">
        <w:rPr>
          <w:rFonts w:ascii="Arial" w:hAnsi="Arial" w:cs="Arial"/>
          <w:b/>
          <w:sz w:val="24"/>
          <w:szCs w:val="24"/>
          <w:u w:val="single"/>
        </w:rPr>
        <w:t xml:space="preserve">Year 3, Quarter 1 Finance Monitoring Report </w:t>
      </w:r>
      <w:r w:rsidR="00CF56E1" w:rsidRPr="00255CD0">
        <w:rPr>
          <w:rFonts w:ascii="Arial" w:hAnsi="Arial" w:cs="Arial"/>
          <w:b/>
          <w:sz w:val="24"/>
          <w:szCs w:val="24"/>
          <w:u w:val="single"/>
        </w:rPr>
        <w:t>(April – June 2016)</w:t>
      </w:r>
    </w:p>
    <w:p w:rsidR="00270806" w:rsidRPr="00255CD0" w:rsidRDefault="008308FB" w:rsidP="00270806">
      <w:pPr>
        <w:rPr>
          <w:rFonts w:ascii="Arial" w:hAnsi="Arial" w:cs="Arial"/>
          <w:b/>
          <w:sz w:val="24"/>
          <w:szCs w:val="24"/>
        </w:rPr>
      </w:pPr>
      <w:r w:rsidRPr="00255CD0">
        <w:rPr>
          <w:rFonts w:ascii="Arial" w:hAnsi="Arial" w:cs="Arial"/>
          <w:b/>
          <w:sz w:val="24"/>
          <w:szCs w:val="24"/>
        </w:rPr>
        <w:t>2</w:t>
      </w:r>
      <w:r w:rsidR="00CF56E1" w:rsidRPr="00255CD0">
        <w:rPr>
          <w:rFonts w:ascii="Arial" w:hAnsi="Arial" w:cs="Arial"/>
          <w:b/>
          <w:sz w:val="24"/>
          <w:szCs w:val="24"/>
        </w:rPr>
        <w:t>.1</w:t>
      </w:r>
      <w:r w:rsidR="00CF56E1" w:rsidRPr="00255CD0">
        <w:rPr>
          <w:rFonts w:ascii="Arial" w:hAnsi="Arial" w:cs="Arial"/>
          <w:b/>
          <w:sz w:val="24"/>
          <w:szCs w:val="24"/>
        </w:rPr>
        <w:tab/>
      </w:r>
      <w:r w:rsidR="00270806" w:rsidRPr="00255CD0">
        <w:rPr>
          <w:rFonts w:ascii="Arial" w:hAnsi="Arial" w:cs="Arial"/>
          <w:b/>
          <w:sz w:val="24"/>
          <w:szCs w:val="24"/>
        </w:rPr>
        <w:t>Introduction</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.2</w:t>
      </w:r>
      <w:r w:rsidR="00CF56E1" w:rsidRPr="00255CD0">
        <w:rPr>
          <w:rFonts w:ascii="Arial" w:hAnsi="Arial" w:cs="Arial"/>
          <w:sz w:val="24"/>
          <w:szCs w:val="24"/>
        </w:rPr>
        <w:tab/>
      </w:r>
      <w:r w:rsidR="00270806" w:rsidRPr="00255CD0">
        <w:rPr>
          <w:rFonts w:ascii="Arial" w:hAnsi="Arial" w:cs="Arial"/>
          <w:sz w:val="24"/>
          <w:szCs w:val="24"/>
        </w:rPr>
        <w:t xml:space="preserve">The City Deal infrastructure delivery model ("the model") is a finance model showing the finance activity to date and expected within the City Deal.   The model is split into two sections - resources being income to be received into the model from the various income streams and delivery programmes being expenditure paid or forecast to be paid on the infrastructure schemes.  The City Deal is an accelerated delivery model based on the understanding that while the timing of resources coming into the model will be behind expenditure on schemes, requiring cash flow support from the County Council, there is a commitment of the partners to keep the model balanced.  </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.3</w:t>
      </w:r>
      <w:r w:rsidR="00CF56E1" w:rsidRPr="00255CD0">
        <w:rPr>
          <w:rFonts w:ascii="Arial" w:hAnsi="Arial" w:cs="Arial"/>
          <w:sz w:val="24"/>
          <w:szCs w:val="24"/>
        </w:rPr>
        <w:t xml:space="preserve"> </w:t>
      </w:r>
      <w:r w:rsidR="00CF56E1" w:rsidRPr="00255CD0">
        <w:rPr>
          <w:rFonts w:ascii="Arial" w:hAnsi="Arial" w:cs="Arial"/>
          <w:sz w:val="24"/>
          <w:szCs w:val="24"/>
        </w:rPr>
        <w:tab/>
      </w:r>
      <w:r w:rsidR="00270806" w:rsidRPr="00255CD0">
        <w:rPr>
          <w:rFonts w:ascii="Arial" w:hAnsi="Arial" w:cs="Arial"/>
          <w:sz w:val="24"/>
          <w:szCs w:val="24"/>
        </w:rPr>
        <w:t xml:space="preserve">It is recognised that the model is dynamic and that changes to the inputs and outputs of the model will occur over time. This is sustainable subject to maximum cash flow approvals being in place and not breached.  </w:t>
      </w:r>
    </w:p>
    <w:p w:rsidR="00270806" w:rsidRPr="00255CD0" w:rsidRDefault="008308FB" w:rsidP="00270806">
      <w:pPr>
        <w:rPr>
          <w:rFonts w:ascii="Arial" w:hAnsi="Arial" w:cs="Arial"/>
          <w:b/>
          <w:sz w:val="24"/>
          <w:szCs w:val="24"/>
        </w:rPr>
      </w:pPr>
      <w:r w:rsidRPr="00255CD0">
        <w:rPr>
          <w:rFonts w:ascii="Arial" w:hAnsi="Arial" w:cs="Arial"/>
          <w:b/>
          <w:sz w:val="24"/>
          <w:szCs w:val="24"/>
        </w:rPr>
        <w:t>2</w:t>
      </w:r>
      <w:r w:rsidR="00CF56E1" w:rsidRPr="00255CD0">
        <w:rPr>
          <w:rFonts w:ascii="Arial" w:hAnsi="Arial" w:cs="Arial"/>
          <w:b/>
          <w:sz w:val="24"/>
          <w:szCs w:val="24"/>
        </w:rPr>
        <w:t>.4</w:t>
      </w:r>
      <w:r w:rsidR="00CF56E1" w:rsidRPr="00255CD0">
        <w:rPr>
          <w:rFonts w:ascii="Arial" w:hAnsi="Arial" w:cs="Arial"/>
          <w:b/>
          <w:sz w:val="24"/>
          <w:szCs w:val="24"/>
        </w:rPr>
        <w:tab/>
      </w:r>
      <w:r w:rsidR="00270806" w:rsidRPr="00255CD0">
        <w:rPr>
          <w:rFonts w:ascii="Arial" w:hAnsi="Arial" w:cs="Arial"/>
          <w:b/>
          <w:sz w:val="24"/>
          <w:szCs w:val="24"/>
        </w:rPr>
        <w:t>Position of the model as at 30</w:t>
      </w:r>
      <w:r w:rsidR="00270806" w:rsidRPr="00255CD0">
        <w:rPr>
          <w:rFonts w:ascii="Arial" w:hAnsi="Arial" w:cs="Arial"/>
          <w:b/>
          <w:sz w:val="24"/>
          <w:szCs w:val="24"/>
          <w:vertAlign w:val="superscript"/>
        </w:rPr>
        <w:t>th</w:t>
      </w:r>
      <w:r w:rsidR="00270806" w:rsidRPr="00255CD0">
        <w:rPr>
          <w:rFonts w:ascii="Arial" w:hAnsi="Arial" w:cs="Arial"/>
          <w:b/>
          <w:sz w:val="24"/>
          <w:szCs w:val="24"/>
        </w:rPr>
        <w:t xml:space="preserve"> June 2016</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.5</w:t>
      </w:r>
      <w:r w:rsidR="00CF56E1" w:rsidRPr="00255CD0">
        <w:rPr>
          <w:rFonts w:ascii="Arial" w:hAnsi="Arial" w:cs="Arial"/>
          <w:sz w:val="24"/>
          <w:szCs w:val="24"/>
        </w:rPr>
        <w:tab/>
      </w:r>
      <w:r w:rsidR="00270806" w:rsidRPr="00255CD0">
        <w:rPr>
          <w:rFonts w:ascii="Arial" w:hAnsi="Arial" w:cs="Arial"/>
          <w:sz w:val="24"/>
          <w:szCs w:val="24"/>
        </w:rPr>
        <w:t>The monitoring report for quarter 1 2016-17 is appended to this report.  The model is currently showing a projected surplus over the city deal period of £1.761m compared to a position as reported in the Year end 31</w:t>
      </w:r>
      <w:r w:rsidR="00270806" w:rsidRPr="00255CD0">
        <w:rPr>
          <w:rFonts w:ascii="Arial" w:hAnsi="Arial" w:cs="Arial"/>
          <w:sz w:val="24"/>
          <w:szCs w:val="24"/>
          <w:vertAlign w:val="superscript"/>
        </w:rPr>
        <w:t>st</w:t>
      </w:r>
      <w:r w:rsidR="00270806" w:rsidRPr="00255CD0">
        <w:rPr>
          <w:rFonts w:ascii="Arial" w:hAnsi="Arial" w:cs="Arial"/>
          <w:sz w:val="24"/>
          <w:szCs w:val="24"/>
        </w:rPr>
        <w:t xml:space="preserve"> March 2016 of surplus of £1.408m.  This is a change of £0.353m. </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.6</w:t>
      </w:r>
      <w:r w:rsidR="00CF56E1" w:rsidRPr="00255CD0">
        <w:rPr>
          <w:rFonts w:ascii="Arial" w:hAnsi="Arial" w:cs="Arial"/>
          <w:sz w:val="24"/>
          <w:szCs w:val="24"/>
        </w:rPr>
        <w:tab/>
      </w:r>
      <w:r w:rsidR="00270806" w:rsidRPr="00255CD0">
        <w:rPr>
          <w:rFonts w:ascii="Arial" w:hAnsi="Arial" w:cs="Arial"/>
          <w:sz w:val="24"/>
          <w:szCs w:val="24"/>
        </w:rPr>
        <w:t xml:space="preserve">All the changes relate in the main to forecasts in housing numbers within the model and assumptions of which houses will attract </w:t>
      </w:r>
      <w:r w:rsidR="00CF56E1" w:rsidRPr="00255CD0">
        <w:rPr>
          <w:rFonts w:ascii="Arial" w:hAnsi="Arial" w:cs="Arial"/>
          <w:sz w:val="24"/>
          <w:szCs w:val="24"/>
        </w:rPr>
        <w:t>CIL</w:t>
      </w:r>
      <w:r w:rsidR="00270806" w:rsidRPr="00255CD0">
        <w:rPr>
          <w:rFonts w:ascii="Arial" w:hAnsi="Arial" w:cs="Arial"/>
          <w:sz w:val="24"/>
          <w:szCs w:val="24"/>
        </w:rPr>
        <w:t xml:space="preserve">, the contribution payable to parishes. </w:t>
      </w:r>
    </w:p>
    <w:p w:rsidR="00270806" w:rsidRPr="00255CD0" w:rsidRDefault="008308FB" w:rsidP="00270806">
      <w:pPr>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.7</w:t>
      </w:r>
      <w:r w:rsidR="00CF56E1" w:rsidRPr="00255CD0">
        <w:rPr>
          <w:rFonts w:ascii="Arial" w:hAnsi="Arial" w:cs="Arial"/>
          <w:b/>
          <w:sz w:val="24"/>
          <w:szCs w:val="24"/>
        </w:rPr>
        <w:tab/>
      </w:r>
      <w:r w:rsidR="00270806" w:rsidRPr="00255CD0">
        <w:rPr>
          <w:rFonts w:ascii="Arial" w:hAnsi="Arial" w:cs="Arial"/>
          <w:b/>
          <w:sz w:val="24"/>
          <w:szCs w:val="24"/>
        </w:rPr>
        <w:t>Key risks to the model</w:t>
      </w:r>
    </w:p>
    <w:p w:rsidR="00270806" w:rsidRPr="00255CD0" w:rsidRDefault="008308FB" w:rsidP="00270806">
      <w:pPr>
        <w:rPr>
          <w:rFonts w:ascii="Arial" w:hAnsi="Arial" w:cs="Arial"/>
          <w:b/>
          <w:sz w:val="24"/>
          <w:szCs w:val="24"/>
        </w:rPr>
      </w:pPr>
      <w:r w:rsidRPr="00255CD0">
        <w:rPr>
          <w:rFonts w:ascii="Arial" w:hAnsi="Arial" w:cs="Arial"/>
          <w:b/>
          <w:sz w:val="24"/>
          <w:szCs w:val="24"/>
        </w:rPr>
        <w:t>2</w:t>
      </w:r>
      <w:r w:rsidR="00CF56E1" w:rsidRPr="00255CD0">
        <w:rPr>
          <w:rFonts w:ascii="Arial" w:hAnsi="Arial" w:cs="Arial"/>
          <w:b/>
          <w:sz w:val="24"/>
          <w:szCs w:val="24"/>
        </w:rPr>
        <w:t>.8</w:t>
      </w:r>
      <w:r w:rsidR="00CF56E1" w:rsidRPr="00255CD0">
        <w:rPr>
          <w:rFonts w:ascii="Arial" w:hAnsi="Arial" w:cs="Arial"/>
          <w:b/>
          <w:sz w:val="24"/>
          <w:szCs w:val="24"/>
        </w:rPr>
        <w:tab/>
      </w:r>
      <w:r w:rsidR="00270806" w:rsidRPr="00255CD0">
        <w:rPr>
          <w:rFonts w:ascii="Arial" w:hAnsi="Arial" w:cs="Arial"/>
          <w:b/>
          <w:sz w:val="24"/>
          <w:szCs w:val="24"/>
        </w:rPr>
        <w:t xml:space="preserve">Resources </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.9</w:t>
      </w:r>
      <w:r w:rsidR="00CF56E1" w:rsidRPr="00255CD0">
        <w:rPr>
          <w:rFonts w:ascii="Arial" w:hAnsi="Arial" w:cs="Arial"/>
          <w:sz w:val="24"/>
          <w:szCs w:val="24"/>
        </w:rPr>
        <w:tab/>
      </w:r>
      <w:r w:rsidR="00270806" w:rsidRPr="00255CD0">
        <w:rPr>
          <w:rFonts w:ascii="Arial" w:hAnsi="Arial" w:cs="Arial"/>
          <w:sz w:val="24"/>
          <w:szCs w:val="24"/>
        </w:rPr>
        <w:t xml:space="preserve">Whilst most of the income to the model is fixed in commitment or capped amounts (with the exclusion of changes to Government policy and how those </w:t>
      </w:r>
      <w:r w:rsidR="00270806" w:rsidRPr="00255CD0">
        <w:rPr>
          <w:rFonts w:ascii="Arial" w:hAnsi="Arial" w:cs="Arial"/>
          <w:sz w:val="24"/>
          <w:szCs w:val="24"/>
        </w:rPr>
        <w:lastRenderedPageBreak/>
        <w:t xml:space="preserve">might affect the model which are being considered by the </w:t>
      </w:r>
      <w:r w:rsidR="00CF56E1" w:rsidRPr="00255CD0">
        <w:rPr>
          <w:rFonts w:ascii="Arial" w:hAnsi="Arial" w:cs="Arial"/>
          <w:sz w:val="24"/>
          <w:szCs w:val="24"/>
        </w:rPr>
        <w:t>E&amp;SB)</w:t>
      </w:r>
      <w:r w:rsidR="00270806" w:rsidRPr="00255CD0">
        <w:rPr>
          <w:rFonts w:ascii="Arial" w:hAnsi="Arial" w:cs="Arial"/>
          <w:sz w:val="24"/>
          <w:szCs w:val="24"/>
        </w:rPr>
        <w:t xml:space="preserve"> the main risk to the model in terms of income is certainty of securing developer contributions in line with the expectations at the outset of the City Deal. </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.10</w:t>
      </w:r>
      <w:r w:rsidR="00CF56E1" w:rsidRPr="00255CD0">
        <w:rPr>
          <w:rFonts w:ascii="Arial" w:hAnsi="Arial" w:cs="Arial"/>
          <w:sz w:val="24"/>
          <w:szCs w:val="24"/>
        </w:rPr>
        <w:tab/>
      </w:r>
      <w:r w:rsidR="00270806" w:rsidRPr="00255CD0">
        <w:rPr>
          <w:rFonts w:ascii="Arial" w:hAnsi="Arial" w:cs="Arial"/>
          <w:sz w:val="24"/>
          <w:szCs w:val="24"/>
        </w:rPr>
        <w:t xml:space="preserve">The total of these in the current model is £102.688m after building in increased rates and the modelling of those sites / units which will attract CIL and other contributions.  £28.364 of this is now expected to come into the model in the “run-on” period of years 11-15 due to reported slippage in sites being brought forward for development. This also has an impact over the time that LCC will have to cash flow the City Deal over and the resulting finance charges incurred.   </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.11</w:t>
      </w:r>
      <w:r w:rsidR="00CF56E1" w:rsidRPr="00255CD0">
        <w:rPr>
          <w:rFonts w:ascii="Arial" w:hAnsi="Arial" w:cs="Arial"/>
          <w:sz w:val="24"/>
          <w:szCs w:val="24"/>
        </w:rPr>
        <w:tab/>
      </w:r>
      <w:r w:rsidR="00270806" w:rsidRPr="00255CD0">
        <w:rPr>
          <w:rFonts w:ascii="Arial" w:hAnsi="Arial" w:cs="Arial"/>
          <w:sz w:val="24"/>
          <w:szCs w:val="24"/>
        </w:rPr>
        <w:t xml:space="preserve">While there is more certainty with regard to the CIL element of developer contributions, within this total figure of £102.965m there is also £50.863 which relates to “other developer contributions”, sometimes referred to as CIL Plus, and which includes monies payable through, for example, section 106/ 278 agreements. While there is a commitment in the Heads of Terms for these amounts to be secured from developers there are a number of technical issues in relation to ensuring these amounts can be collected and transferred to the model. It should be noted that to date £32.830m of these have already been secured leaving an amount of £16.662m still to be sought. This represents a risk to the model remaining in balance as should these not be secured, expenditure and resource forecasts will not remain aligned.  As part of the ongoing Resources Review </w:t>
      </w:r>
      <w:proofErr w:type="spellStart"/>
      <w:r w:rsidR="00270806" w:rsidRPr="00255CD0">
        <w:rPr>
          <w:rFonts w:ascii="Arial" w:hAnsi="Arial" w:cs="Arial"/>
          <w:sz w:val="24"/>
          <w:szCs w:val="24"/>
        </w:rPr>
        <w:t>Keppie</w:t>
      </w:r>
      <w:proofErr w:type="spellEnd"/>
      <w:r w:rsidR="00270806" w:rsidRPr="00255CD0">
        <w:rPr>
          <w:rFonts w:ascii="Arial" w:hAnsi="Arial" w:cs="Arial"/>
          <w:sz w:val="24"/>
          <w:szCs w:val="24"/>
        </w:rPr>
        <w:t xml:space="preserve"> Massie are testing all the assumptions relating to developer contributions within the model. </w:t>
      </w:r>
    </w:p>
    <w:p w:rsidR="00270806" w:rsidRPr="00255CD0" w:rsidRDefault="008308FB" w:rsidP="00270806">
      <w:pPr>
        <w:rPr>
          <w:rFonts w:ascii="Arial" w:hAnsi="Arial" w:cs="Arial"/>
          <w:b/>
          <w:sz w:val="24"/>
          <w:szCs w:val="24"/>
        </w:rPr>
      </w:pPr>
      <w:r w:rsidRPr="00255CD0">
        <w:rPr>
          <w:rFonts w:ascii="Arial" w:hAnsi="Arial" w:cs="Arial"/>
          <w:b/>
          <w:sz w:val="24"/>
          <w:szCs w:val="24"/>
        </w:rPr>
        <w:t>2</w:t>
      </w:r>
      <w:r w:rsidR="00CF56E1" w:rsidRPr="00255CD0">
        <w:rPr>
          <w:rFonts w:ascii="Arial" w:hAnsi="Arial" w:cs="Arial"/>
          <w:b/>
          <w:sz w:val="24"/>
          <w:szCs w:val="24"/>
        </w:rPr>
        <w:t>.12</w:t>
      </w:r>
      <w:r w:rsidR="00CF56E1" w:rsidRPr="00255CD0">
        <w:rPr>
          <w:rFonts w:ascii="Arial" w:hAnsi="Arial" w:cs="Arial"/>
          <w:b/>
          <w:sz w:val="24"/>
          <w:szCs w:val="24"/>
        </w:rPr>
        <w:tab/>
      </w:r>
      <w:r w:rsidR="00270806" w:rsidRPr="00255CD0">
        <w:rPr>
          <w:rFonts w:ascii="Arial" w:hAnsi="Arial" w:cs="Arial"/>
          <w:b/>
          <w:sz w:val="24"/>
          <w:szCs w:val="24"/>
        </w:rPr>
        <w:t>Expenditure</w:t>
      </w:r>
    </w:p>
    <w:p w:rsidR="00270806" w:rsidRPr="00255CD0" w:rsidRDefault="008308FB" w:rsidP="00CF56E1">
      <w:pPr>
        <w:ind w:left="720" w:hanging="720"/>
        <w:rPr>
          <w:rFonts w:ascii="Arial" w:hAnsi="Arial" w:cs="Arial"/>
          <w:sz w:val="24"/>
          <w:szCs w:val="24"/>
        </w:rPr>
      </w:pPr>
      <w:r w:rsidRPr="00255CD0">
        <w:rPr>
          <w:rFonts w:ascii="Arial" w:hAnsi="Arial" w:cs="Arial"/>
          <w:b/>
          <w:sz w:val="24"/>
          <w:szCs w:val="24"/>
        </w:rPr>
        <w:t>2</w:t>
      </w:r>
      <w:r w:rsidR="00CF56E1" w:rsidRPr="00255CD0">
        <w:rPr>
          <w:rFonts w:ascii="Arial" w:hAnsi="Arial" w:cs="Arial"/>
          <w:b/>
          <w:sz w:val="24"/>
          <w:szCs w:val="24"/>
        </w:rPr>
        <w:t>.13</w:t>
      </w:r>
      <w:r w:rsidR="00CF56E1" w:rsidRPr="00255CD0">
        <w:rPr>
          <w:rFonts w:ascii="Arial" w:hAnsi="Arial" w:cs="Arial"/>
          <w:sz w:val="24"/>
          <w:szCs w:val="24"/>
        </w:rPr>
        <w:tab/>
      </w:r>
      <w:r w:rsidR="00270806" w:rsidRPr="00255CD0">
        <w:rPr>
          <w:rFonts w:ascii="Arial" w:hAnsi="Arial" w:cs="Arial"/>
          <w:sz w:val="24"/>
          <w:szCs w:val="24"/>
        </w:rPr>
        <w:t xml:space="preserve">To date, no scheme funding gaps have been confirmed. The scheme estimates set out in the model will continue to be refined and tested as schemes are subject to detailed design, preparation of cost estimates and tendering prior to implementation. The Infrastructure Delivery Steering Group has approved a process to ensure that final costs are approved and schemes are fully funded prior to implementation.  </w:t>
      </w:r>
    </w:p>
    <w:tbl>
      <w:tblPr>
        <w:tblStyle w:val="TableGrid"/>
        <w:tblW w:w="0" w:type="auto"/>
        <w:tblInd w:w="-5" w:type="dxa"/>
        <w:tblLook w:val="04A0" w:firstRow="1" w:lastRow="0" w:firstColumn="1" w:lastColumn="0" w:noHBand="0" w:noVBand="1"/>
      </w:tblPr>
      <w:tblGrid>
        <w:gridCol w:w="9021"/>
      </w:tblGrid>
      <w:tr w:rsidR="00CF56E1" w:rsidRPr="00255CD0" w:rsidTr="00CF56E1">
        <w:tc>
          <w:tcPr>
            <w:tcW w:w="9021" w:type="dxa"/>
          </w:tcPr>
          <w:p w:rsidR="00CF56E1" w:rsidRPr="00255CD0" w:rsidRDefault="00CF56E1" w:rsidP="0076539C">
            <w:pPr>
              <w:jc w:val="both"/>
              <w:rPr>
                <w:rFonts w:ascii="Arial" w:hAnsi="Arial" w:cs="Arial"/>
                <w:b/>
                <w:sz w:val="24"/>
                <w:szCs w:val="24"/>
              </w:rPr>
            </w:pPr>
            <w:r w:rsidRPr="00255CD0">
              <w:rPr>
                <w:rFonts w:ascii="Arial" w:hAnsi="Arial" w:cs="Arial"/>
                <w:b/>
                <w:sz w:val="24"/>
                <w:szCs w:val="24"/>
              </w:rPr>
              <w:t>Recommendation</w:t>
            </w:r>
          </w:p>
          <w:p w:rsidR="00CF56E1" w:rsidRPr="00255CD0" w:rsidRDefault="00CF56E1" w:rsidP="0076539C">
            <w:pPr>
              <w:jc w:val="both"/>
              <w:rPr>
                <w:rFonts w:ascii="Arial" w:hAnsi="Arial" w:cs="Arial"/>
                <w:b/>
                <w:sz w:val="24"/>
                <w:szCs w:val="24"/>
              </w:rPr>
            </w:pPr>
          </w:p>
          <w:p w:rsidR="00CF56E1" w:rsidRPr="00255CD0" w:rsidRDefault="00CF56E1" w:rsidP="00CF56E1">
            <w:pPr>
              <w:jc w:val="both"/>
              <w:rPr>
                <w:rFonts w:ascii="Arial" w:hAnsi="Arial" w:cs="Arial"/>
                <w:sz w:val="24"/>
                <w:szCs w:val="24"/>
              </w:rPr>
            </w:pPr>
            <w:r w:rsidRPr="00255CD0">
              <w:rPr>
                <w:rFonts w:ascii="Arial" w:hAnsi="Arial" w:cs="Arial"/>
                <w:b/>
                <w:sz w:val="24"/>
                <w:szCs w:val="24"/>
              </w:rPr>
              <w:t>The E&amp;SB is asked to note the Q1 Finance Monitoring Report for the period April-June 2016</w:t>
            </w:r>
          </w:p>
        </w:tc>
      </w:tr>
    </w:tbl>
    <w:p w:rsidR="00270806" w:rsidRPr="00255CD0" w:rsidRDefault="00270806" w:rsidP="0076539C">
      <w:pPr>
        <w:ind w:left="567" w:hanging="567"/>
        <w:jc w:val="both"/>
        <w:rPr>
          <w:rFonts w:ascii="Arial" w:hAnsi="Arial" w:cs="Arial"/>
          <w:sz w:val="24"/>
          <w:szCs w:val="24"/>
        </w:rPr>
      </w:pPr>
    </w:p>
    <w:p w:rsidR="00742E00" w:rsidRPr="00255CD0" w:rsidRDefault="008308FB" w:rsidP="00742E00">
      <w:pPr>
        <w:ind w:left="567" w:hanging="567"/>
        <w:jc w:val="both"/>
        <w:rPr>
          <w:rFonts w:ascii="Arial" w:hAnsi="Arial" w:cs="Arial"/>
          <w:b/>
          <w:sz w:val="24"/>
          <w:szCs w:val="24"/>
        </w:rPr>
      </w:pPr>
      <w:r w:rsidRPr="00255CD0">
        <w:rPr>
          <w:rFonts w:ascii="Arial" w:hAnsi="Arial" w:cs="Arial"/>
          <w:b/>
          <w:sz w:val="24"/>
          <w:szCs w:val="24"/>
        </w:rPr>
        <w:t>3</w:t>
      </w:r>
      <w:r w:rsidR="00924D2B" w:rsidRPr="00255CD0">
        <w:rPr>
          <w:rFonts w:ascii="Arial" w:hAnsi="Arial" w:cs="Arial"/>
          <w:b/>
          <w:sz w:val="24"/>
          <w:szCs w:val="24"/>
        </w:rPr>
        <w:t>.</w:t>
      </w:r>
      <w:r w:rsidR="00924D2B" w:rsidRPr="00255CD0">
        <w:rPr>
          <w:rFonts w:ascii="Arial" w:hAnsi="Arial" w:cs="Arial"/>
          <w:b/>
          <w:sz w:val="24"/>
          <w:szCs w:val="24"/>
        </w:rPr>
        <w:tab/>
      </w:r>
      <w:r w:rsidR="00742E00" w:rsidRPr="00255CD0">
        <w:rPr>
          <w:rFonts w:ascii="Arial" w:hAnsi="Arial" w:cs="Arial"/>
          <w:b/>
          <w:sz w:val="24"/>
          <w:szCs w:val="24"/>
          <w:u w:val="single"/>
        </w:rPr>
        <w:t>Planning and Delivery Working Group Report</w:t>
      </w:r>
    </w:p>
    <w:p w:rsidR="00742E00" w:rsidRPr="00255CD0" w:rsidRDefault="008308FB" w:rsidP="00742E00">
      <w:pPr>
        <w:ind w:left="567" w:hanging="567"/>
        <w:jc w:val="both"/>
        <w:rPr>
          <w:rFonts w:ascii="Arial" w:hAnsi="Arial" w:cs="Arial"/>
          <w:b/>
          <w:sz w:val="24"/>
          <w:szCs w:val="24"/>
        </w:rPr>
      </w:pPr>
      <w:r w:rsidRPr="00255CD0">
        <w:rPr>
          <w:rFonts w:ascii="Arial" w:hAnsi="Arial" w:cs="Arial"/>
          <w:b/>
          <w:sz w:val="24"/>
          <w:szCs w:val="24"/>
        </w:rPr>
        <w:t>3</w:t>
      </w:r>
      <w:r w:rsidR="00742E00" w:rsidRPr="00255CD0">
        <w:rPr>
          <w:rFonts w:ascii="Arial" w:hAnsi="Arial" w:cs="Arial"/>
          <w:b/>
          <w:sz w:val="24"/>
          <w:szCs w:val="24"/>
        </w:rPr>
        <w:t>.1</w:t>
      </w:r>
      <w:r w:rsidR="00742E00" w:rsidRPr="00255CD0">
        <w:rPr>
          <w:rFonts w:ascii="Arial" w:hAnsi="Arial" w:cs="Arial"/>
          <w:b/>
          <w:sz w:val="24"/>
          <w:szCs w:val="24"/>
        </w:rPr>
        <w:tab/>
        <w:t>Background</w:t>
      </w:r>
    </w:p>
    <w:p w:rsidR="00742E00" w:rsidRPr="00255CD0" w:rsidRDefault="008308FB" w:rsidP="00742E00">
      <w:pPr>
        <w:ind w:left="567" w:hanging="567"/>
        <w:jc w:val="both"/>
        <w:rPr>
          <w:rFonts w:ascii="Arial" w:hAnsi="Arial" w:cs="Arial"/>
          <w:sz w:val="24"/>
          <w:szCs w:val="24"/>
        </w:rPr>
      </w:pPr>
      <w:r w:rsidRPr="00255CD0">
        <w:rPr>
          <w:rFonts w:ascii="Arial" w:hAnsi="Arial" w:cs="Arial"/>
          <w:b/>
          <w:sz w:val="24"/>
          <w:szCs w:val="24"/>
        </w:rPr>
        <w:t>3</w:t>
      </w:r>
      <w:r w:rsidR="00742E00" w:rsidRPr="00255CD0">
        <w:rPr>
          <w:rFonts w:ascii="Arial" w:hAnsi="Arial" w:cs="Arial"/>
          <w:b/>
          <w:sz w:val="24"/>
          <w:szCs w:val="24"/>
        </w:rPr>
        <w:t>.2</w:t>
      </w:r>
      <w:r w:rsidR="00742E00" w:rsidRPr="00255CD0">
        <w:rPr>
          <w:rFonts w:ascii="Arial" w:hAnsi="Arial" w:cs="Arial"/>
          <w:sz w:val="24"/>
          <w:szCs w:val="24"/>
        </w:rPr>
        <w:tab/>
        <w:t>Planning is often cited by Central Government and developers as slowing and / or stifling development. At the City Deal Technical Workshop held on Friday 20</w:t>
      </w:r>
      <w:r w:rsidR="00742E00" w:rsidRPr="00255CD0">
        <w:rPr>
          <w:rFonts w:ascii="Arial" w:hAnsi="Arial" w:cs="Arial"/>
          <w:sz w:val="24"/>
          <w:szCs w:val="24"/>
          <w:vertAlign w:val="superscript"/>
        </w:rPr>
        <w:t>th</w:t>
      </w:r>
      <w:r w:rsidR="00742E00" w:rsidRPr="00255CD0">
        <w:rPr>
          <w:rFonts w:ascii="Arial" w:hAnsi="Arial" w:cs="Arial"/>
          <w:sz w:val="24"/>
          <w:szCs w:val="24"/>
        </w:rPr>
        <w:t xml:space="preserve"> November 2015 it was agreed that a small working group be formed to look at the role of Planning in achieving delivery of City Deal sites. The focus of the working group would be to identify issues and blockages that could be perceived to slow development down and identify, through an action plan, potential ways of addressing such issues.</w:t>
      </w:r>
    </w:p>
    <w:p w:rsidR="00742E00" w:rsidRPr="00255CD0" w:rsidRDefault="008308FB" w:rsidP="00742E00">
      <w:pPr>
        <w:ind w:left="567" w:hanging="567"/>
        <w:jc w:val="both"/>
        <w:rPr>
          <w:rFonts w:ascii="Arial" w:hAnsi="Arial" w:cs="Arial"/>
          <w:sz w:val="24"/>
          <w:szCs w:val="24"/>
        </w:rPr>
      </w:pPr>
      <w:r w:rsidRPr="00255CD0">
        <w:rPr>
          <w:rFonts w:ascii="Arial" w:hAnsi="Arial" w:cs="Arial"/>
          <w:sz w:val="24"/>
          <w:szCs w:val="24"/>
        </w:rPr>
        <w:lastRenderedPageBreak/>
        <w:t>3</w:t>
      </w:r>
      <w:r w:rsidR="00742E00" w:rsidRPr="00255CD0">
        <w:rPr>
          <w:rFonts w:ascii="Arial" w:hAnsi="Arial" w:cs="Arial"/>
          <w:sz w:val="24"/>
          <w:szCs w:val="24"/>
        </w:rPr>
        <w:t>.3</w:t>
      </w:r>
      <w:r w:rsidR="00742E00" w:rsidRPr="00255CD0">
        <w:rPr>
          <w:rFonts w:ascii="Arial" w:hAnsi="Arial" w:cs="Arial"/>
          <w:sz w:val="24"/>
          <w:szCs w:val="24"/>
        </w:rPr>
        <w:tab/>
        <w:t>The group is made up of representatives from South Ribble Borough Council, Preston City Council, Lancashire County Council and the Homes and Communities Agency.</w:t>
      </w:r>
    </w:p>
    <w:p w:rsidR="00742E00" w:rsidRPr="00255CD0" w:rsidRDefault="008308FB" w:rsidP="00742E00">
      <w:pPr>
        <w:ind w:left="567" w:hanging="567"/>
        <w:jc w:val="both"/>
        <w:rPr>
          <w:rFonts w:ascii="Arial" w:hAnsi="Arial" w:cs="Arial"/>
          <w:b/>
          <w:sz w:val="24"/>
          <w:szCs w:val="24"/>
        </w:rPr>
      </w:pPr>
      <w:r w:rsidRPr="00255CD0">
        <w:rPr>
          <w:rFonts w:ascii="Arial" w:hAnsi="Arial" w:cs="Arial"/>
          <w:sz w:val="24"/>
          <w:szCs w:val="24"/>
        </w:rPr>
        <w:t>3</w:t>
      </w:r>
      <w:r w:rsidR="00742E00" w:rsidRPr="00255CD0">
        <w:rPr>
          <w:rFonts w:ascii="Arial" w:hAnsi="Arial" w:cs="Arial"/>
          <w:sz w:val="24"/>
          <w:szCs w:val="24"/>
        </w:rPr>
        <w:t>.4</w:t>
      </w:r>
      <w:r w:rsidR="00742E00" w:rsidRPr="00255CD0">
        <w:rPr>
          <w:rFonts w:ascii="Arial" w:hAnsi="Arial" w:cs="Arial"/>
          <w:sz w:val="24"/>
          <w:szCs w:val="24"/>
        </w:rPr>
        <w:tab/>
      </w:r>
      <w:r w:rsidR="00742E00" w:rsidRPr="00255CD0">
        <w:rPr>
          <w:rFonts w:ascii="Arial" w:hAnsi="Arial" w:cs="Arial"/>
          <w:b/>
          <w:sz w:val="24"/>
          <w:szCs w:val="24"/>
        </w:rPr>
        <w:t>Discussion</w:t>
      </w:r>
    </w:p>
    <w:p w:rsidR="00742E00" w:rsidRPr="00255CD0" w:rsidRDefault="008308FB" w:rsidP="00742E00">
      <w:pPr>
        <w:ind w:left="567" w:hanging="567"/>
        <w:jc w:val="both"/>
        <w:rPr>
          <w:rFonts w:ascii="Arial" w:hAnsi="Arial" w:cs="Arial"/>
          <w:sz w:val="24"/>
          <w:szCs w:val="24"/>
        </w:rPr>
      </w:pPr>
      <w:r w:rsidRPr="00255CD0">
        <w:rPr>
          <w:rFonts w:ascii="Arial" w:hAnsi="Arial" w:cs="Arial"/>
          <w:sz w:val="24"/>
          <w:szCs w:val="24"/>
        </w:rPr>
        <w:t>3</w:t>
      </w:r>
      <w:r w:rsidR="00742E00" w:rsidRPr="00255CD0">
        <w:rPr>
          <w:rFonts w:ascii="Arial" w:hAnsi="Arial" w:cs="Arial"/>
          <w:sz w:val="24"/>
          <w:szCs w:val="24"/>
        </w:rPr>
        <w:t>.5</w:t>
      </w:r>
      <w:r w:rsidR="00742E00" w:rsidRPr="00255CD0">
        <w:rPr>
          <w:rFonts w:ascii="Arial" w:hAnsi="Arial" w:cs="Arial"/>
          <w:sz w:val="24"/>
          <w:szCs w:val="24"/>
        </w:rPr>
        <w:tab/>
        <w:t>The working group has met a number of times and the draft action plan</w:t>
      </w:r>
      <w:r w:rsidR="00F30F99" w:rsidRPr="00255CD0">
        <w:rPr>
          <w:rFonts w:ascii="Arial" w:hAnsi="Arial" w:cs="Arial"/>
          <w:sz w:val="24"/>
          <w:szCs w:val="24"/>
        </w:rPr>
        <w:t xml:space="preserve"> (attached as an appendix)</w:t>
      </w:r>
      <w:r w:rsidR="00742E00" w:rsidRPr="00255CD0">
        <w:rPr>
          <w:rFonts w:ascii="Arial" w:hAnsi="Arial" w:cs="Arial"/>
          <w:sz w:val="24"/>
          <w:szCs w:val="24"/>
        </w:rPr>
        <w:t xml:space="preserve"> has been considered by City Deal IDSG and Project Team. The discussion and the action plan can be broken down into the following areas:</w:t>
      </w:r>
    </w:p>
    <w:p w:rsidR="00742E00" w:rsidRPr="00255CD0" w:rsidRDefault="008308FB" w:rsidP="00D05E19">
      <w:pPr>
        <w:tabs>
          <w:tab w:val="left" w:pos="142"/>
        </w:tabs>
        <w:ind w:left="567" w:hanging="567"/>
        <w:jc w:val="both"/>
        <w:rPr>
          <w:rFonts w:ascii="Arial" w:hAnsi="Arial" w:cs="Arial"/>
          <w:i/>
          <w:sz w:val="24"/>
          <w:szCs w:val="24"/>
        </w:rPr>
      </w:pPr>
      <w:r w:rsidRPr="00255CD0">
        <w:rPr>
          <w:rFonts w:ascii="Arial" w:hAnsi="Arial" w:cs="Arial"/>
          <w:sz w:val="24"/>
          <w:szCs w:val="24"/>
        </w:rPr>
        <w:t>3</w:t>
      </w:r>
      <w:r w:rsidR="00D05E19" w:rsidRPr="00255CD0">
        <w:rPr>
          <w:rFonts w:ascii="Arial" w:hAnsi="Arial" w:cs="Arial"/>
          <w:sz w:val="24"/>
          <w:szCs w:val="24"/>
        </w:rPr>
        <w:t>.6</w:t>
      </w:r>
      <w:r w:rsidR="00D05E19" w:rsidRPr="00255CD0">
        <w:rPr>
          <w:rFonts w:ascii="Arial" w:hAnsi="Arial" w:cs="Arial"/>
          <w:i/>
          <w:sz w:val="24"/>
          <w:szCs w:val="24"/>
        </w:rPr>
        <w:t xml:space="preserve"> </w:t>
      </w:r>
      <w:r w:rsidR="00D05E19" w:rsidRPr="00255CD0">
        <w:rPr>
          <w:rFonts w:ascii="Arial" w:hAnsi="Arial" w:cs="Arial"/>
          <w:i/>
          <w:sz w:val="24"/>
          <w:szCs w:val="24"/>
        </w:rPr>
        <w:tab/>
      </w:r>
      <w:r w:rsidR="00742E00" w:rsidRPr="00255CD0">
        <w:rPr>
          <w:rFonts w:ascii="Arial" w:hAnsi="Arial" w:cs="Arial"/>
          <w:i/>
          <w:sz w:val="24"/>
          <w:szCs w:val="24"/>
        </w:rPr>
        <w:t>Planning’s Role in Implementation and Project Management</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w:t>
      </w:r>
      <w:r w:rsidR="00D05E19" w:rsidRPr="00255CD0">
        <w:rPr>
          <w:rFonts w:ascii="Arial" w:hAnsi="Arial" w:cs="Arial"/>
          <w:sz w:val="24"/>
          <w:szCs w:val="24"/>
        </w:rPr>
        <w:t>.7</w:t>
      </w:r>
      <w:r w:rsidR="00D05E19" w:rsidRPr="00255CD0">
        <w:rPr>
          <w:rFonts w:ascii="Arial" w:hAnsi="Arial" w:cs="Arial"/>
          <w:sz w:val="24"/>
          <w:szCs w:val="24"/>
        </w:rPr>
        <w:tab/>
      </w:r>
      <w:r w:rsidR="00742E00" w:rsidRPr="00255CD0">
        <w:rPr>
          <w:rFonts w:ascii="Arial" w:hAnsi="Arial" w:cs="Arial"/>
          <w:sz w:val="24"/>
          <w:szCs w:val="24"/>
        </w:rPr>
        <w:t xml:space="preserve">Leading on from the above it was felt that Planning could play a more important role in project managing sites coming forward. Many of the City Deal sites are large and very complex with multiple land owners and developers. Planning is often seen as just the process of dealing with and deciding upon the planning applications. It was felt that planning should have a wider role in development by focusing on implementation of sites and schemes also. An end to end development process working with the development industry was felt to be important. This includes a focus on identifying blockages and working towards solutions to those blockages. </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w:t>
      </w:r>
      <w:r w:rsidR="00D05E19" w:rsidRPr="00255CD0">
        <w:rPr>
          <w:rFonts w:ascii="Arial" w:hAnsi="Arial" w:cs="Arial"/>
          <w:sz w:val="24"/>
          <w:szCs w:val="24"/>
        </w:rPr>
        <w:t>.8</w:t>
      </w:r>
      <w:r w:rsidR="00D05E19" w:rsidRPr="00255CD0">
        <w:rPr>
          <w:rFonts w:ascii="Arial" w:hAnsi="Arial" w:cs="Arial"/>
          <w:sz w:val="24"/>
          <w:szCs w:val="24"/>
        </w:rPr>
        <w:tab/>
      </w:r>
      <w:r w:rsidR="00742E00" w:rsidRPr="00255CD0">
        <w:rPr>
          <w:rFonts w:ascii="Arial" w:hAnsi="Arial" w:cs="Arial"/>
          <w:sz w:val="24"/>
          <w:szCs w:val="24"/>
        </w:rPr>
        <w:t>The ethos of planning and the up-skilling of planners was felt to be important. It was therefore identified that project management training and approaches would be useful.</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w:t>
      </w:r>
      <w:r w:rsidR="00D05E19" w:rsidRPr="00255CD0">
        <w:rPr>
          <w:rFonts w:ascii="Arial" w:hAnsi="Arial" w:cs="Arial"/>
          <w:sz w:val="24"/>
          <w:szCs w:val="24"/>
        </w:rPr>
        <w:t>.9</w:t>
      </w:r>
      <w:r w:rsidR="00D05E19" w:rsidRPr="00255CD0">
        <w:rPr>
          <w:rFonts w:ascii="Arial" w:hAnsi="Arial" w:cs="Arial"/>
          <w:sz w:val="24"/>
          <w:szCs w:val="24"/>
        </w:rPr>
        <w:tab/>
      </w:r>
      <w:r w:rsidR="00742E00" w:rsidRPr="00255CD0">
        <w:rPr>
          <w:rFonts w:ascii="Arial" w:hAnsi="Arial" w:cs="Arial"/>
          <w:sz w:val="24"/>
          <w:szCs w:val="24"/>
        </w:rPr>
        <w:t xml:space="preserve">A Housing Sites Issues log has been created for South Ribble and for Preston. Each log divides the housing sites up into 3 groups those with 250 or more houses, 50-249 houses and sites of less than 50 houses. A note has been made of the planning permission stage reached for each site and a summary made of planning issues and other issues relevant to each site. This information includes the findings to date of the draft </w:t>
      </w:r>
      <w:proofErr w:type="spellStart"/>
      <w:r w:rsidR="00742E00" w:rsidRPr="00255CD0">
        <w:rPr>
          <w:rFonts w:ascii="Arial" w:hAnsi="Arial" w:cs="Arial"/>
          <w:sz w:val="24"/>
          <w:szCs w:val="24"/>
        </w:rPr>
        <w:t>Keppie</w:t>
      </w:r>
      <w:proofErr w:type="spellEnd"/>
      <w:r w:rsidR="00742E00" w:rsidRPr="00255CD0">
        <w:rPr>
          <w:rFonts w:ascii="Arial" w:hAnsi="Arial" w:cs="Arial"/>
          <w:sz w:val="24"/>
          <w:szCs w:val="24"/>
        </w:rPr>
        <w:t xml:space="preserve"> Massie Resources Review Analysis</w:t>
      </w:r>
    </w:p>
    <w:p w:rsidR="00742E00" w:rsidRPr="00255CD0" w:rsidRDefault="008308FB" w:rsidP="00D05E19">
      <w:pPr>
        <w:tabs>
          <w:tab w:val="left" w:pos="567"/>
        </w:tabs>
        <w:jc w:val="both"/>
        <w:rPr>
          <w:rFonts w:ascii="Arial" w:hAnsi="Arial" w:cs="Arial"/>
          <w:i/>
          <w:sz w:val="24"/>
          <w:szCs w:val="24"/>
        </w:rPr>
      </w:pPr>
      <w:r w:rsidRPr="00255CD0">
        <w:rPr>
          <w:rFonts w:ascii="Arial" w:hAnsi="Arial" w:cs="Arial"/>
          <w:sz w:val="24"/>
          <w:szCs w:val="24"/>
        </w:rPr>
        <w:t>3</w:t>
      </w:r>
      <w:r w:rsidRPr="00255CD0">
        <w:rPr>
          <w:rFonts w:ascii="Arial" w:hAnsi="Arial" w:cs="Arial"/>
          <w:i/>
          <w:sz w:val="24"/>
          <w:szCs w:val="24"/>
        </w:rPr>
        <w:t>.</w:t>
      </w:r>
      <w:r w:rsidRPr="00255CD0">
        <w:rPr>
          <w:rFonts w:ascii="Arial" w:hAnsi="Arial" w:cs="Arial"/>
          <w:sz w:val="24"/>
          <w:szCs w:val="24"/>
        </w:rPr>
        <w:t>10</w:t>
      </w:r>
      <w:r w:rsidR="00D05E19" w:rsidRPr="00255CD0">
        <w:rPr>
          <w:rFonts w:ascii="Arial" w:hAnsi="Arial" w:cs="Arial"/>
          <w:i/>
          <w:sz w:val="24"/>
          <w:szCs w:val="24"/>
        </w:rPr>
        <w:tab/>
      </w:r>
      <w:r w:rsidR="00742E00" w:rsidRPr="00255CD0">
        <w:rPr>
          <w:rFonts w:ascii="Arial" w:hAnsi="Arial" w:cs="Arial"/>
          <w:i/>
          <w:sz w:val="24"/>
          <w:szCs w:val="24"/>
        </w:rPr>
        <w:t>Monitoring</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3.11</w:t>
      </w:r>
      <w:r w:rsidR="00D05E19" w:rsidRPr="00255CD0">
        <w:rPr>
          <w:rFonts w:ascii="Arial" w:hAnsi="Arial" w:cs="Arial"/>
          <w:sz w:val="24"/>
          <w:szCs w:val="24"/>
        </w:rPr>
        <w:tab/>
      </w:r>
      <w:r w:rsidR="00742E00" w:rsidRPr="00255CD0">
        <w:rPr>
          <w:rFonts w:ascii="Arial" w:hAnsi="Arial" w:cs="Arial"/>
          <w:sz w:val="24"/>
          <w:szCs w:val="24"/>
        </w:rPr>
        <w:t xml:space="preserve">City Deal monitoring is focused on the raw number of </w:t>
      </w:r>
      <w:proofErr w:type="gramStart"/>
      <w:r w:rsidR="00742E00" w:rsidRPr="00255CD0">
        <w:rPr>
          <w:rFonts w:ascii="Arial" w:hAnsi="Arial" w:cs="Arial"/>
          <w:sz w:val="24"/>
          <w:szCs w:val="24"/>
        </w:rPr>
        <w:t>units</w:t>
      </w:r>
      <w:proofErr w:type="gramEnd"/>
      <w:r w:rsidR="00742E00" w:rsidRPr="00255CD0">
        <w:rPr>
          <w:rFonts w:ascii="Arial" w:hAnsi="Arial" w:cs="Arial"/>
          <w:sz w:val="24"/>
          <w:szCs w:val="24"/>
        </w:rPr>
        <w:t xml:space="preserve"> built and key milestones. It was considered by the group that monitoring should be a much wider remit to gain a full understanding of what is happening and what the issues are on each site or project and the new monitoring system and milestones reflect this.  For each major site detailed knowledge of where sites were up to tends to be mixed across different officers. The recording of information about sites beyond the key measures and milestones is essential to enable a full understanding of where the various elements of a site are up to. There are likely to be IT solutions to this to enable recording of progress alongside key outputs.</w:t>
      </w:r>
    </w:p>
    <w:p w:rsidR="00742E00" w:rsidRPr="00255CD0" w:rsidRDefault="008308FB" w:rsidP="00D05E19">
      <w:pPr>
        <w:ind w:left="567" w:hanging="567"/>
        <w:jc w:val="both"/>
        <w:rPr>
          <w:rFonts w:ascii="Arial" w:hAnsi="Arial" w:cs="Arial"/>
          <w:i/>
          <w:sz w:val="24"/>
          <w:szCs w:val="24"/>
        </w:rPr>
      </w:pPr>
      <w:r w:rsidRPr="00255CD0">
        <w:rPr>
          <w:rFonts w:ascii="Arial" w:hAnsi="Arial" w:cs="Arial"/>
          <w:sz w:val="24"/>
          <w:szCs w:val="24"/>
        </w:rPr>
        <w:t>3.12</w:t>
      </w:r>
      <w:r w:rsidR="00D05E19" w:rsidRPr="00255CD0">
        <w:rPr>
          <w:rFonts w:ascii="Arial" w:hAnsi="Arial" w:cs="Arial"/>
          <w:i/>
          <w:sz w:val="24"/>
          <w:szCs w:val="24"/>
        </w:rPr>
        <w:tab/>
      </w:r>
      <w:r w:rsidR="00742E00" w:rsidRPr="00255CD0">
        <w:rPr>
          <w:rFonts w:ascii="Arial" w:hAnsi="Arial" w:cs="Arial"/>
          <w:i/>
          <w:sz w:val="24"/>
          <w:szCs w:val="24"/>
        </w:rPr>
        <w:t>Member Engagement</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3.13</w:t>
      </w:r>
      <w:r w:rsidR="00D05E19" w:rsidRPr="00255CD0">
        <w:rPr>
          <w:rFonts w:ascii="Arial" w:hAnsi="Arial" w:cs="Arial"/>
          <w:sz w:val="24"/>
          <w:szCs w:val="24"/>
        </w:rPr>
        <w:tab/>
      </w:r>
      <w:r w:rsidR="00742E00" w:rsidRPr="00255CD0">
        <w:rPr>
          <w:rFonts w:ascii="Arial" w:hAnsi="Arial" w:cs="Arial"/>
          <w:sz w:val="24"/>
          <w:szCs w:val="24"/>
        </w:rPr>
        <w:t xml:space="preserve">During discussions it was highlighted that Councillors have varying degrees of understanding and awareness of the City Deal, whilst many of them will sit on planning committees deciding planning applications that are part of City Deal. Member involvement could be highlighted by introducing text into Planning Committee reports where developments are particularly important to </w:t>
      </w:r>
      <w:r w:rsidR="00F30F99" w:rsidRPr="00255CD0">
        <w:rPr>
          <w:rFonts w:ascii="Arial" w:hAnsi="Arial" w:cs="Arial"/>
          <w:sz w:val="24"/>
          <w:szCs w:val="24"/>
        </w:rPr>
        <w:t xml:space="preserve">the </w:t>
      </w:r>
      <w:r w:rsidR="00742E00" w:rsidRPr="00255CD0">
        <w:rPr>
          <w:rFonts w:ascii="Arial" w:hAnsi="Arial" w:cs="Arial"/>
          <w:sz w:val="24"/>
          <w:szCs w:val="24"/>
        </w:rPr>
        <w:t xml:space="preserve">City Deal. It was also considered that the Central Lancashire Joint Advisory </w:t>
      </w:r>
      <w:r w:rsidR="00742E00" w:rsidRPr="00255CD0">
        <w:rPr>
          <w:rFonts w:ascii="Arial" w:hAnsi="Arial" w:cs="Arial"/>
          <w:sz w:val="24"/>
          <w:szCs w:val="24"/>
        </w:rPr>
        <w:lastRenderedPageBreak/>
        <w:t>Committee could play an important role in feeding information about progress on City Deal through to Members. Member training sessions or updates on City Deal would also be beneficial.</w:t>
      </w:r>
    </w:p>
    <w:p w:rsidR="00742E00" w:rsidRPr="00255CD0" w:rsidRDefault="008308FB" w:rsidP="00D05E19">
      <w:pPr>
        <w:ind w:left="567" w:hanging="567"/>
        <w:jc w:val="both"/>
        <w:rPr>
          <w:rFonts w:ascii="Arial" w:hAnsi="Arial" w:cs="Arial"/>
          <w:i/>
          <w:sz w:val="24"/>
          <w:szCs w:val="24"/>
        </w:rPr>
      </w:pPr>
      <w:r w:rsidRPr="00255CD0">
        <w:rPr>
          <w:rFonts w:ascii="Arial" w:hAnsi="Arial" w:cs="Arial"/>
          <w:sz w:val="24"/>
          <w:szCs w:val="24"/>
        </w:rPr>
        <w:t>3.14</w:t>
      </w:r>
      <w:r w:rsidR="00D05E19" w:rsidRPr="00255CD0">
        <w:rPr>
          <w:rFonts w:ascii="Arial" w:hAnsi="Arial" w:cs="Arial"/>
          <w:i/>
          <w:sz w:val="24"/>
          <w:szCs w:val="24"/>
        </w:rPr>
        <w:tab/>
      </w:r>
      <w:r w:rsidR="00742E00" w:rsidRPr="00255CD0">
        <w:rPr>
          <w:rFonts w:ascii="Arial" w:hAnsi="Arial" w:cs="Arial"/>
          <w:i/>
          <w:sz w:val="24"/>
          <w:szCs w:val="24"/>
        </w:rPr>
        <w:t>Visibility of City Deal</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3.15</w:t>
      </w:r>
      <w:r w:rsidR="00D05E19" w:rsidRPr="00255CD0">
        <w:rPr>
          <w:rFonts w:ascii="Arial" w:hAnsi="Arial" w:cs="Arial"/>
          <w:sz w:val="24"/>
          <w:szCs w:val="24"/>
        </w:rPr>
        <w:tab/>
      </w:r>
      <w:r w:rsidR="00742E00" w:rsidRPr="00255CD0">
        <w:rPr>
          <w:rFonts w:ascii="Arial" w:hAnsi="Arial" w:cs="Arial"/>
          <w:sz w:val="24"/>
          <w:szCs w:val="24"/>
        </w:rPr>
        <w:t>It was considered by the group that developers and landowners were still not sufficiently engaged in the City Deal process.  A comprehensive programme of developer forums and events may therefore benefit the process as well as building up ongoing relationships with developer</w:t>
      </w:r>
      <w:r w:rsidR="00F30F99" w:rsidRPr="00255CD0">
        <w:rPr>
          <w:rFonts w:ascii="Arial" w:hAnsi="Arial" w:cs="Arial"/>
          <w:sz w:val="24"/>
          <w:szCs w:val="24"/>
        </w:rPr>
        <w:t>s</w:t>
      </w:r>
      <w:r w:rsidR="00742E00" w:rsidRPr="00255CD0">
        <w:rPr>
          <w:rFonts w:ascii="Arial" w:hAnsi="Arial" w:cs="Arial"/>
          <w:sz w:val="24"/>
          <w:szCs w:val="24"/>
        </w:rPr>
        <w:t>.</w:t>
      </w:r>
    </w:p>
    <w:p w:rsidR="00742E00" w:rsidRPr="00255CD0" w:rsidRDefault="008308FB" w:rsidP="00D05E19">
      <w:pPr>
        <w:ind w:left="567" w:hanging="567"/>
        <w:jc w:val="both"/>
        <w:rPr>
          <w:rFonts w:ascii="Arial" w:hAnsi="Arial" w:cs="Arial"/>
          <w:i/>
          <w:sz w:val="24"/>
          <w:szCs w:val="24"/>
        </w:rPr>
      </w:pPr>
      <w:r w:rsidRPr="00255CD0">
        <w:rPr>
          <w:rFonts w:ascii="Arial" w:hAnsi="Arial" w:cs="Arial"/>
          <w:sz w:val="24"/>
          <w:szCs w:val="24"/>
        </w:rPr>
        <w:t>3.16</w:t>
      </w:r>
      <w:r w:rsidR="00D05E19" w:rsidRPr="00255CD0">
        <w:rPr>
          <w:rFonts w:ascii="Arial" w:hAnsi="Arial" w:cs="Arial"/>
          <w:i/>
          <w:sz w:val="24"/>
          <w:szCs w:val="24"/>
        </w:rPr>
        <w:tab/>
      </w:r>
      <w:r w:rsidR="00742E00" w:rsidRPr="00255CD0">
        <w:rPr>
          <w:rFonts w:ascii="Arial" w:hAnsi="Arial" w:cs="Arial"/>
          <w:i/>
          <w:sz w:val="24"/>
          <w:szCs w:val="24"/>
        </w:rPr>
        <w:t xml:space="preserve">Speeding </w:t>
      </w:r>
      <w:proofErr w:type="gramStart"/>
      <w:r w:rsidR="00742E00" w:rsidRPr="00255CD0">
        <w:rPr>
          <w:rFonts w:ascii="Arial" w:hAnsi="Arial" w:cs="Arial"/>
          <w:i/>
          <w:sz w:val="24"/>
          <w:szCs w:val="24"/>
        </w:rPr>
        <w:t>Up</w:t>
      </w:r>
      <w:proofErr w:type="gramEnd"/>
      <w:r w:rsidR="00742E00" w:rsidRPr="00255CD0">
        <w:rPr>
          <w:rFonts w:ascii="Arial" w:hAnsi="Arial" w:cs="Arial"/>
          <w:i/>
          <w:sz w:val="24"/>
          <w:szCs w:val="24"/>
        </w:rPr>
        <w:t xml:space="preserve"> Decisions</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3.17</w:t>
      </w:r>
      <w:r w:rsidR="00D05E19" w:rsidRPr="00255CD0">
        <w:rPr>
          <w:rFonts w:ascii="Arial" w:hAnsi="Arial" w:cs="Arial"/>
          <w:sz w:val="24"/>
          <w:szCs w:val="24"/>
        </w:rPr>
        <w:tab/>
      </w:r>
      <w:r w:rsidR="00742E00" w:rsidRPr="00255CD0">
        <w:rPr>
          <w:rFonts w:ascii="Arial" w:hAnsi="Arial" w:cs="Arial"/>
          <w:sz w:val="24"/>
          <w:szCs w:val="24"/>
        </w:rPr>
        <w:t>Despite perceptions nationally and in the media it was felt by all that performance in determining major planning applications was very good. Despite this it was felt that whilst attention was on the major applications that this detracted from dealing with discharge of conditions and other smaller applications. In many instances these conditions were reliant on third parties who have their own resource issues. Similarly concerns were raised about the length of time to negotiate and ultimately approve S106 agreements. It was acknowledged, however, that in many cases the delays were on the part of the developer.</w:t>
      </w:r>
    </w:p>
    <w:p w:rsidR="00742E00" w:rsidRPr="00255CD0" w:rsidRDefault="008308FB" w:rsidP="00D05E19">
      <w:pPr>
        <w:ind w:left="567" w:hanging="567"/>
        <w:jc w:val="both"/>
        <w:rPr>
          <w:rFonts w:ascii="Arial" w:hAnsi="Arial" w:cs="Arial"/>
          <w:i/>
          <w:sz w:val="24"/>
          <w:szCs w:val="24"/>
        </w:rPr>
      </w:pPr>
      <w:r w:rsidRPr="00255CD0">
        <w:rPr>
          <w:rFonts w:ascii="Arial" w:hAnsi="Arial" w:cs="Arial"/>
          <w:sz w:val="24"/>
          <w:szCs w:val="24"/>
        </w:rPr>
        <w:t>3.18</w:t>
      </w:r>
      <w:r w:rsidR="00D05E19" w:rsidRPr="00255CD0">
        <w:rPr>
          <w:rFonts w:ascii="Arial" w:hAnsi="Arial" w:cs="Arial"/>
          <w:i/>
          <w:sz w:val="24"/>
          <w:szCs w:val="24"/>
        </w:rPr>
        <w:tab/>
      </w:r>
      <w:r w:rsidR="00742E00" w:rsidRPr="00255CD0">
        <w:rPr>
          <w:rFonts w:ascii="Arial" w:hAnsi="Arial" w:cs="Arial"/>
          <w:i/>
          <w:sz w:val="24"/>
          <w:szCs w:val="24"/>
        </w:rPr>
        <w:t>Stakeholders</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3.19</w:t>
      </w:r>
      <w:r w:rsidR="00D05E19" w:rsidRPr="00255CD0">
        <w:rPr>
          <w:rFonts w:ascii="Arial" w:hAnsi="Arial" w:cs="Arial"/>
          <w:sz w:val="24"/>
          <w:szCs w:val="24"/>
        </w:rPr>
        <w:tab/>
      </w:r>
      <w:r w:rsidR="00742E00" w:rsidRPr="00255CD0">
        <w:rPr>
          <w:rFonts w:ascii="Arial" w:hAnsi="Arial" w:cs="Arial"/>
          <w:sz w:val="24"/>
          <w:szCs w:val="24"/>
        </w:rPr>
        <w:t>Preston City Council and South Ribble Borough Council as planning authorities, are very reliant on other stakeholders for input into planning applications and discharging of conditions. Other bodies such as Lancashire County Council (for Highways and SUDS), Environment Agency, Natural England, Historic England, and Highways England have important roles to play. It was felt that such bodies needed to “buy in” to City Deal and ensure that their involvement is prioritised and resourced accordingly. This could be done through high level meetings and also through City Deal update meetings with them.</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3.20</w:t>
      </w:r>
      <w:r w:rsidR="00D05E19" w:rsidRPr="00255CD0">
        <w:rPr>
          <w:rFonts w:ascii="Arial" w:hAnsi="Arial" w:cs="Arial"/>
          <w:sz w:val="24"/>
          <w:szCs w:val="24"/>
        </w:rPr>
        <w:tab/>
      </w:r>
      <w:r w:rsidR="00742E00" w:rsidRPr="00255CD0">
        <w:rPr>
          <w:rFonts w:ascii="Arial" w:hAnsi="Arial" w:cs="Arial"/>
          <w:sz w:val="24"/>
          <w:szCs w:val="24"/>
        </w:rPr>
        <w:t>Highways has been identified as a particular problem area whereby input into pre application discussions is currently limited and developers are met with strong views and concerns when an application is in</w:t>
      </w:r>
      <w:r w:rsidR="00F30F99" w:rsidRPr="00255CD0">
        <w:rPr>
          <w:rFonts w:ascii="Arial" w:hAnsi="Arial" w:cs="Arial"/>
          <w:sz w:val="24"/>
          <w:szCs w:val="24"/>
        </w:rPr>
        <w:t>.</w:t>
      </w:r>
    </w:p>
    <w:p w:rsidR="00742E00" w:rsidRPr="00255CD0" w:rsidRDefault="008308FB" w:rsidP="00D05E19">
      <w:pPr>
        <w:ind w:left="567" w:hanging="567"/>
        <w:jc w:val="both"/>
        <w:rPr>
          <w:rFonts w:ascii="Arial" w:hAnsi="Arial" w:cs="Arial"/>
          <w:i/>
          <w:sz w:val="24"/>
          <w:szCs w:val="24"/>
        </w:rPr>
      </w:pPr>
      <w:r w:rsidRPr="00255CD0">
        <w:rPr>
          <w:rFonts w:ascii="Arial" w:hAnsi="Arial" w:cs="Arial"/>
          <w:i/>
          <w:sz w:val="24"/>
          <w:szCs w:val="24"/>
        </w:rPr>
        <w:t>3.21</w:t>
      </w:r>
      <w:r w:rsidR="00D05E19" w:rsidRPr="00255CD0">
        <w:rPr>
          <w:rFonts w:ascii="Arial" w:hAnsi="Arial" w:cs="Arial"/>
          <w:i/>
          <w:sz w:val="24"/>
          <w:szCs w:val="24"/>
        </w:rPr>
        <w:tab/>
      </w:r>
      <w:r w:rsidR="00742E00" w:rsidRPr="00255CD0">
        <w:rPr>
          <w:rFonts w:ascii="Arial" w:hAnsi="Arial" w:cs="Arial"/>
          <w:i/>
          <w:sz w:val="24"/>
          <w:szCs w:val="24"/>
        </w:rPr>
        <w:t>Getting the Most Out of City Deal</w:t>
      </w:r>
    </w:p>
    <w:p w:rsidR="00D05E19" w:rsidRDefault="008308FB" w:rsidP="00D05E19">
      <w:pPr>
        <w:ind w:left="567" w:hanging="567"/>
        <w:jc w:val="both"/>
        <w:rPr>
          <w:rFonts w:ascii="Arial" w:hAnsi="Arial" w:cs="Arial"/>
          <w:sz w:val="24"/>
          <w:szCs w:val="24"/>
        </w:rPr>
      </w:pPr>
      <w:r w:rsidRPr="00255CD0">
        <w:rPr>
          <w:rFonts w:ascii="Arial" w:hAnsi="Arial" w:cs="Arial"/>
          <w:sz w:val="24"/>
          <w:szCs w:val="24"/>
        </w:rPr>
        <w:t>3.2</w:t>
      </w:r>
      <w:r w:rsidR="00D05E19" w:rsidRPr="00255CD0">
        <w:rPr>
          <w:rFonts w:ascii="Arial" w:hAnsi="Arial" w:cs="Arial"/>
          <w:sz w:val="24"/>
          <w:szCs w:val="24"/>
        </w:rPr>
        <w:t>2</w:t>
      </w:r>
      <w:r w:rsidR="00D05E19" w:rsidRPr="00255CD0">
        <w:rPr>
          <w:rFonts w:ascii="Arial" w:hAnsi="Arial" w:cs="Arial"/>
          <w:sz w:val="24"/>
          <w:szCs w:val="24"/>
        </w:rPr>
        <w:tab/>
      </w:r>
      <w:r w:rsidR="00742E00" w:rsidRPr="00255CD0">
        <w:rPr>
          <w:rFonts w:ascii="Arial" w:hAnsi="Arial" w:cs="Arial"/>
          <w:sz w:val="24"/>
          <w:szCs w:val="24"/>
        </w:rPr>
        <w:t>The group also discussed the wider role Planning could play in ensuring that developments contribute more to City Deal particularly with regard to economic and social value. It was considered that developments could contribute more widely through employing local people, providing apprenticeship programmes, making use of local suppliers and contractors. One way of achieving this is through conditions or legal agreements on planning permissions which could also be supported through a S</w:t>
      </w:r>
      <w:r w:rsidR="00A54F7B" w:rsidRPr="00255CD0">
        <w:rPr>
          <w:rFonts w:ascii="Arial" w:hAnsi="Arial" w:cs="Arial"/>
          <w:sz w:val="24"/>
          <w:szCs w:val="24"/>
        </w:rPr>
        <w:t xml:space="preserve">upplementary Planning Document (SPD) The Central Lancashire Authorities are preparing a skills &amp; employment SPD which will support this. </w:t>
      </w:r>
    </w:p>
    <w:p w:rsidR="00FB7434" w:rsidRDefault="00FB7434" w:rsidP="00D05E19">
      <w:pPr>
        <w:ind w:left="567" w:hanging="567"/>
        <w:jc w:val="both"/>
        <w:rPr>
          <w:rFonts w:ascii="Arial" w:hAnsi="Arial" w:cs="Arial"/>
          <w:sz w:val="24"/>
          <w:szCs w:val="24"/>
        </w:rPr>
      </w:pPr>
    </w:p>
    <w:p w:rsidR="00DB36BC" w:rsidRDefault="00DB36BC" w:rsidP="00D05E19">
      <w:pPr>
        <w:ind w:left="567" w:hanging="567"/>
        <w:jc w:val="both"/>
        <w:rPr>
          <w:rFonts w:ascii="Arial" w:hAnsi="Arial" w:cs="Arial"/>
          <w:sz w:val="24"/>
          <w:szCs w:val="24"/>
        </w:rPr>
      </w:pPr>
    </w:p>
    <w:p w:rsidR="00DB36BC" w:rsidRPr="00255CD0" w:rsidRDefault="00DB36BC" w:rsidP="00D05E19">
      <w:pPr>
        <w:ind w:left="567" w:hanging="567"/>
        <w:jc w:val="both"/>
        <w:rPr>
          <w:rFonts w:ascii="Arial" w:hAnsi="Arial" w:cs="Arial"/>
          <w:sz w:val="24"/>
          <w:szCs w:val="24"/>
        </w:rPr>
      </w:pPr>
    </w:p>
    <w:p w:rsidR="00742E00" w:rsidRPr="00255CD0" w:rsidRDefault="008308FB" w:rsidP="00D05E19">
      <w:pPr>
        <w:ind w:left="567" w:hanging="567"/>
        <w:jc w:val="both"/>
        <w:rPr>
          <w:rFonts w:ascii="Arial" w:hAnsi="Arial" w:cs="Arial"/>
          <w:b/>
          <w:sz w:val="24"/>
          <w:szCs w:val="24"/>
        </w:rPr>
      </w:pPr>
      <w:r w:rsidRPr="00255CD0">
        <w:rPr>
          <w:rFonts w:ascii="Arial" w:hAnsi="Arial" w:cs="Arial"/>
          <w:sz w:val="24"/>
          <w:szCs w:val="24"/>
        </w:rPr>
        <w:lastRenderedPageBreak/>
        <w:t>3.23</w:t>
      </w:r>
      <w:r w:rsidR="00D05E19" w:rsidRPr="00255CD0">
        <w:rPr>
          <w:rFonts w:ascii="Arial" w:hAnsi="Arial" w:cs="Arial"/>
          <w:sz w:val="24"/>
          <w:szCs w:val="24"/>
        </w:rPr>
        <w:tab/>
      </w:r>
      <w:r w:rsidR="00742E00" w:rsidRPr="00255CD0">
        <w:rPr>
          <w:rFonts w:ascii="Arial" w:hAnsi="Arial" w:cs="Arial"/>
          <w:b/>
          <w:sz w:val="24"/>
          <w:szCs w:val="24"/>
        </w:rPr>
        <w:t>Conclusion</w:t>
      </w:r>
    </w:p>
    <w:p w:rsidR="00742E00" w:rsidRPr="00255CD0" w:rsidRDefault="008308FB" w:rsidP="00D05E19">
      <w:pPr>
        <w:ind w:left="567" w:hanging="567"/>
        <w:jc w:val="both"/>
        <w:rPr>
          <w:rFonts w:ascii="Arial" w:hAnsi="Arial" w:cs="Arial"/>
          <w:sz w:val="24"/>
          <w:szCs w:val="24"/>
        </w:rPr>
      </w:pPr>
      <w:r w:rsidRPr="00255CD0">
        <w:rPr>
          <w:rFonts w:ascii="Arial" w:hAnsi="Arial" w:cs="Arial"/>
          <w:sz w:val="24"/>
          <w:szCs w:val="24"/>
        </w:rPr>
        <w:t>3.24</w:t>
      </w:r>
      <w:r w:rsidR="00D05E19" w:rsidRPr="00255CD0">
        <w:rPr>
          <w:rFonts w:ascii="Arial" w:hAnsi="Arial" w:cs="Arial"/>
          <w:sz w:val="24"/>
          <w:szCs w:val="24"/>
        </w:rPr>
        <w:tab/>
      </w:r>
      <w:r w:rsidR="00742E00" w:rsidRPr="00255CD0">
        <w:rPr>
          <w:rFonts w:ascii="Arial" w:hAnsi="Arial" w:cs="Arial"/>
          <w:sz w:val="24"/>
          <w:szCs w:val="24"/>
        </w:rPr>
        <w:t xml:space="preserve">The </w:t>
      </w:r>
      <w:r w:rsidR="00F30F99" w:rsidRPr="00255CD0">
        <w:rPr>
          <w:rFonts w:ascii="Arial" w:hAnsi="Arial" w:cs="Arial"/>
          <w:sz w:val="24"/>
          <w:szCs w:val="24"/>
        </w:rPr>
        <w:t>Action Plan at Appendix A distils</w:t>
      </w:r>
      <w:r w:rsidR="00742E00" w:rsidRPr="00255CD0">
        <w:rPr>
          <w:rFonts w:ascii="Arial" w:hAnsi="Arial" w:cs="Arial"/>
          <w:sz w:val="24"/>
          <w:szCs w:val="24"/>
        </w:rPr>
        <w:t xml:space="preserve"> the above discussion into six themes and provides suggested actions and delivery and starts to identify who might lead on such actions and how that could be resourced. Indeed some of the actions are already being implemented as shown in the final column. </w:t>
      </w:r>
    </w:p>
    <w:tbl>
      <w:tblPr>
        <w:tblStyle w:val="TableGrid"/>
        <w:tblW w:w="0" w:type="auto"/>
        <w:tblInd w:w="-147" w:type="dxa"/>
        <w:tblLook w:val="04A0" w:firstRow="1" w:lastRow="0" w:firstColumn="1" w:lastColumn="0" w:noHBand="0" w:noVBand="1"/>
      </w:tblPr>
      <w:tblGrid>
        <w:gridCol w:w="9163"/>
      </w:tblGrid>
      <w:tr w:rsidR="00D05E19" w:rsidRPr="00255CD0" w:rsidTr="00D05E19">
        <w:tc>
          <w:tcPr>
            <w:tcW w:w="9163" w:type="dxa"/>
          </w:tcPr>
          <w:p w:rsidR="00D05E19" w:rsidRPr="00255CD0" w:rsidRDefault="008308FB" w:rsidP="00D05E19">
            <w:pPr>
              <w:ind w:left="426" w:hanging="392"/>
              <w:jc w:val="both"/>
              <w:rPr>
                <w:rFonts w:ascii="Arial" w:hAnsi="Arial" w:cs="Arial"/>
                <w:b/>
                <w:sz w:val="24"/>
                <w:szCs w:val="24"/>
              </w:rPr>
            </w:pPr>
            <w:r w:rsidRPr="00255CD0">
              <w:rPr>
                <w:rFonts w:ascii="Arial" w:hAnsi="Arial" w:cs="Arial"/>
                <w:b/>
                <w:sz w:val="24"/>
                <w:szCs w:val="24"/>
              </w:rPr>
              <w:t>3.25</w:t>
            </w:r>
            <w:r w:rsidR="00D05E19" w:rsidRPr="00255CD0">
              <w:rPr>
                <w:rFonts w:ascii="Arial" w:hAnsi="Arial" w:cs="Arial"/>
                <w:b/>
                <w:sz w:val="24"/>
                <w:szCs w:val="24"/>
              </w:rPr>
              <w:t xml:space="preserve">  Recommendation </w:t>
            </w:r>
          </w:p>
          <w:p w:rsidR="00D05E19" w:rsidRPr="00255CD0" w:rsidRDefault="00D05E19" w:rsidP="00D05E19">
            <w:pPr>
              <w:ind w:left="426" w:hanging="392"/>
              <w:jc w:val="both"/>
              <w:rPr>
                <w:rFonts w:ascii="Arial" w:hAnsi="Arial" w:cs="Arial"/>
                <w:b/>
                <w:sz w:val="24"/>
                <w:szCs w:val="24"/>
              </w:rPr>
            </w:pPr>
          </w:p>
          <w:p w:rsidR="00D05E19" w:rsidRPr="00255CD0" w:rsidRDefault="00D05E19" w:rsidP="00F30F99">
            <w:pPr>
              <w:rPr>
                <w:rFonts w:ascii="Arial" w:hAnsi="Arial" w:cs="Arial"/>
                <w:b/>
                <w:sz w:val="24"/>
                <w:szCs w:val="24"/>
              </w:rPr>
            </w:pPr>
            <w:bookmarkStart w:id="0" w:name="_GoBack"/>
            <w:bookmarkEnd w:id="0"/>
            <w:r w:rsidRPr="00255CD0">
              <w:rPr>
                <w:rFonts w:ascii="Arial" w:hAnsi="Arial" w:cs="Arial"/>
                <w:b/>
                <w:sz w:val="24"/>
                <w:szCs w:val="24"/>
              </w:rPr>
              <w:t>That the Executive</w:t>
            </w:r>
            <w:r w:rsidR="00F30F99" w:rsidRPr="00255CD0">
              <w:rPr>
                <w:rFonts w:ascii="Arial" w:hAnsi="Arial" w:cs="Arial"/>
                <w:b/>
                <w:sz w:val="24"/>
                <w:szCs w:val="24"/>
              </w:rPr>
              <w:t xml:space="preserve"> and Stewardship Board n</w:t>
            </w:r>
            <w:r w:rsidRPr="00255CD0">
              <w:rPr>
                <w:rFonts w:ascii="Arial" w:hAnsi="Arial" w:cs="Arial"/>
                <w:b/>
                <w:sz w:val="24"/>
                <w:szCs w:val="24"/>
              </w:rPr>
              <w:t>ote the report of the Planning and Delivery Working Group and be invited to comment on the action plan.</w:t>
            </w:r>
          </w:p>
        </w:tc>
      </w:tr>
    </w:tbl>
    <w:p w:rsidR="00D05E19" w:rsidRPr="00255CD0" w:rsidRDefault="00D05E19" w:rsidP="00742E00">
      <w:pPr>
        <w:ind w:left="426"/>
        <w:jc w:val="both"/>
        <w:rPr>
          <w:rFonts w:ascii="Arial" w:hAnsi="Arial" w:cs="Arial"/>
          <w:b/>
          <w:sz w:val="24"/>
          <w:szCs w:val="24"/>
        </w:rPr>
      </w:pPr>
    </w:p>
    <w:p w:rsidR="007B49E3" w:rsidRPr="00D82A93" w:rsidRDefault="007B49E3">
      <w:pPr>
        <w:rPr>
          <w:rFonts w:ascii="Arial" w:hAnsi="Arial" w:cs="Arial"/>
        </w:rPr>
      </w:pPr>
      <w:r w:rsidRPr="00D82A93">
        <w:rPr>
          <w:rFonts w:ascii="Arial" w:hAnsi="Arial" w:cs="Arial"/>
        </w:rPr>
        <w:br w:type="page"/>
      </w:r>
    </w:p>
    <w:p w:rsidR="007A724C" w:rsidRPr="00D82A93" w:rsidRDefault="007A724C" w:rsidP="00742E00">
      <w:pPr>
        <w:rPr>
          <w:rFonts w:ascii="Arial" w:hAnsi="Arial" w:cs="Arial"/>
          <w:b/>
        </w:rPr>
        <w:sectPr w:rsidR="007A724C" w:rsidRPr="00D82A93" w:rsidSect="00CF56E1">
          <w:footerReference w:type="default" r:id="rId10"/>
          <w:pgSz w:w="11906" w:h="16838"/>
          <w:pgMar w:top="1134" w:right="1440" w:bottom="993" w:left="1440" w:header="708" w:footer="708" w:gutter="0"/>
          <w:cols w:space="708"/>
          <w:docGrid w:linePitch="360"/>
        </w:sectPr>
      </w:pPr>
    </w:p>
    <w:p w:rsidR="00742E00" w:rsidRPr="00D82A93" w:rsidRDefault="00742E00" w:rsidP="00742E00">
      <w:pPr>
        <w:rPr>
          <w:rFonts w:ascii="Arial" w:hAnsi="Arial" w:cs="Arial"/>
          <w:b/>
        </w:rPr>
      </w:pPr>
      <w:r w:rsidRPr="00D82A93">
        <w:rPr>
          <w:rFonts w:ascii="Arial" w:hAnsi="Arial" w:cs="Arial"/>
          <w:b/>
        </w:rPr>
        <w:lastRenderedPageBreak/>
        <w:t>Appendix A</w:t>
      </w:r>
    </w:p>
    <w:p w:rsidR="00742E00" w:rsidRPr="00D82A93" w:rsidRDefault="00742E00" w:rsidP="00742E00">
      <w:pPr>
        <w:rPr>
          <w:rFonts w:ascii="Arial" w:hAnsi="Arial" w:cs="Arial"/>
          <w:b/>
        </w:rPr>
      </w:pPr>
      <w:r w:rsidRPr="00D82A93">
        <w:rPr>
          <w:rFonts w:ascii="Arial" w:hAnsi="Arial" w:cs="Arial"/>
          <w:b/>
        </w:rPr>
        <w:t>City Deal Housing and Planning Delivery Action Plan</w:t>
      </w:r>
    </w:p>
    <w:tbl>
      <w:tblPr>
        <w:tblStyle w:val="TableGrid"/>
        <w:tblW w:w="13892" w:type="dxa"/>
        <w:tblInd w:w="-5" w:type="dxa"/>
        <w:tblLook w:val="04A0" w:firstRow="1" w:lastRow="0" w:firstColumn="1" w:lastColumn="0" w:noHBand="0" w:noVBand="1"/>
      </w:tblPr>
      <w:tblGrid>
        <w:gridCol w:w="1933"/>
        <w:gridCol w:w="1038"/>
        <w:gridCol w:w="3165"/>
        <w:gridCol w:w="4163"/>
        <w:gridCol w:w="1643"/>
        <w:gridCol w:w="1950"/>
      </w:tblGrid>
      <w:tr w:rsidR="00742E00" w:rsidRPr="00D82A93" w:rsidTr="007750AA">
        <w:trPr>
          <w:tblHeader/>
        </w:trPr>
        <w:tc>
          <w:tcPr>
            <w:tcW w:w="1933" w:type="dxa"/>
            <w:shd w:val="clear" w:color="auto" w:fill="000000" w:themeFill="text1"/>
          </w:tcPr>
          <w:p w:rsidR="00742E00" w:rsidRPr="00D82A93" w:rsidRDefault="00742E00" w:rsidP="007750AA">
            <w:pPr>
              <w:rPr>
                <w:rFonts w:ascii="Arial" w:hAnsi="Arial" w:cs="Arial"/>
                <w:b/>
                <w:color w:val="FFFFFF" w:themeColor="background1"/>
              </w:rPr>
            </w:pPr>
            <w:r w:rsidRPr="00D82A93">
              <w:rPr>
                <w:rFonts w:ascii="Arial" w:hAnsi="Arial" w:cs="Arial"/>
                <w:b/>
                <w:color w:val="FFFFFF" w:themeColor="background1"/>
              </w:rPr>
              <w:t>Theme</w:t>
            </w:r>
          </w:p>
        </w:tc>
        <w:tc>
          <w:tcPr>
            <w:tcW w:w="1038" w:type="dxa"/>
            <w:shd w:val="clear" w:color="auto" w:fill="000000" w:themeFill="text1"/>
          </w:tcPr>
          <w:p w:rsidR="00742E00" w:rsidRPr="00D82A93" w:rsidRDefault="00742E00" w:rsidP="007750AA">
            <w:pPr>
              <w:jc w:val="center"/>
              <w:rPr>
                <w:rFonts w:ascii="Arial" w:hAnsi="Arial" w:cs="Arial"/>
                <w:b/>
                <w:color w:val="FFFFFF" w:themeColor="background1"/>
              </w:rPr>
            </w:pPr>
            <w:r w:rsidRPr="00D82A93">
              <w:rPr>
                <w:rFonts w:ascii="Arial" w:hAnsi="Arial" w:cs="Arial"/>
                <w:b/>
                <w:color w:val="FFFFFF" w:themeColor="background1"/>
              </w:rPr>
              <w:t>Priority</w:t>
            </w:r>
          </w:p>
        </w:tc>
        <w:tc>
          <w:tcPr>
            <w:tcW w:w="3165" w:type="dxa"/>
            <w:shd w:val="clear" w:color="auto" w:fill="000000" w:themeFill="text1"/>
          </w:tcPr>
          <w:p w:rsidR="00742E00" w:rsidRPr="00D82A93" w:rsidRDefault="00742E00" w:rsidP="007750AA">
            <w:pPr>
              <w:rPr>
                <w:rFonts w:ascii="Arial" w:hAnsi="Arial" w:cs="Arial"/>
                <w:b/>
                <w:color w:val="FFFFFF" w:themeColor="background1"/>
              </w:rPr>
            </w:pPr>
            <w:r w:rsidRPr="00D82A93">
              <w:rPr>
                <w:rFonts w:ascii="Arial" w:hAnsi="Arial" w:cs="Arial"/>
                <w:b/>
                <w:color w:val="FFFFFF" w:themeColor="background1"/>
              </w:rPr>
              <w:t>Action</w:t>
            </w:r>
          </w:p>
        </w:tc>
        <w:tc>
          <w:tcPr>
            <w:tcW w:w="4163" w:type="dxa"/>
            <w:shd w:val="clear" w:color="auto" w:fill="000000" w:themeFill="text1"/>
          </w:tcPr>
          <w:p w:rsidR="00742E00" w:rsidRPr="00D82A93" w:rsidRDefault="00742E00" w:rsidP="007750AA">
            <w:pPr>
              <w:ind w:left="316" w:hanging="289"/>
              <w:rPr>
                <w:rFonts w:ascii="Arial" w:hAnsi="Arial" w:cs="Arial"/>
                <w:b/>
                <w:color w:val="FFFFFF" w:themeColor="background1"/>
              </w:rPr>
            </w:pPr>
            <w:r w:rsidRPr="00D82A93">
              <w:rPr>
                <w:rFonts w:ascii="Arial" w:hAnsi="Arial" w:cs="Arial"/>
                <w:b/>
                <w:color w:val="FFFFFF" w:themeColor="background1"/>
              </w:rPr>
              <w:t>Delivery</w:t>
            </w:r>
          </w:p>
        </w:tc>
        <w:tc>
          <w:tcPr>
            <w:tcW w:w="1643" w:type="dxa"/>
            <w:shd w:val="clear" w:color="auto" w:fill="000000" w:themeFill="text1"/>
          </w:tcPr>
          <w:p w:rsidR="00742E00" w:rsidRPr="00D82A93" w:rsidRDefault="00742E00" w:rsidP="007750AA">
            <w:pPr>
              <w:rPr>
                <w:rFonts w:ascii="Arial" w:hAnsi="Arial" w:cs="Arial"/>
                <w:b/>
                <w:color w:val="FFFFFF" w:themeColor="background1"/>
              </w:rPr>
            </w:pPr>
            <w:r w:rsidRPr="00D82A93">
              <w:rPr>
                <w:rFonts w:ascii="Arial" w:hAnsi="Arial" w:cs="Arial"/>
                <w:b/>
                <w:color w:val="FFFFFF" w:themeColor="background1"/>
              </w:rPr>
              <w:t>Lead</w:t>
            </w:r>
          </w:p>
        </w:tc>
        <w:tc>
          <w:tcPr>
            <w:tcW w:w="1950" w:type="dxa"/>
            <w:shd w:val="clear" w:color="auto" w:fill="000000" w:themeFill="text1"/>
          </w:tcPr>
          <w:p w:rsidR="00742E00" w:rsidRPr="00D82A93" w:rsidRDefault="00742E00" w:rsidP="007750AA">
            <w:pPr>
              <w:rPr>
                <w:rFonts w:ascii="Arial" w:hAnsi="Arial" w:cs="Arial"/>
                <w:b/>
                <w:color w:val="FFFFFF" w:themeColor="background1"/>
              </w:rPr>
            </w:pPr>
            <w:r w:rsidRPr="00D82A93">
              <w:rPr>
                <w:rFonts w:ascii="Arial" w:hAnsi="Arial" w:cs="Arial"/>
                <w:b/>
                <w:color w:val="FFFFFF" w:themeColor="background1"/>
              </w:rPr>
              <w:t>Timing</w:t>
            </w:r>
          </w:p>
        </w:tc>
      </w:tr>
      <w:tr w:rsidR="00742E00" w:rsidRPr="00D82A93" w:rsidTr="007750AA">
        <w:tc>
          <w:tcPr>
            <w:tcW w:w="1933" w:type="dxa"/>
            <w:vMerge w:val="restart"/>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t>Planning's role in implementation</w:t>
            </w: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tcPr>
          <w:p w:rsidR="00742E00" w:rsidRPr="00D82A93" w:rsidRDefault="00742E00" w:rsidP="007750AA">
            <w:pPr>
              <w:rPr>
                <w:rFonts w:ascii="Arial" w:hAnsi="Arial" w:cs="Arial"/>
              </w:rPr>
            </w:pPr>
            <w:r w:rsidRPr="00D82A93">
              <w:rPr>
                <w:rFonts w:ascii="Arial" w:hAnsi="Arial" w:cs="Arial"/>
              </w:rPr>
              <w:t>Implement development team approaches to City Deal developments</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Promote and prioritise City Deal sites and development across planning departments.</w:t>
            </w:r>
          </w:p>
          <w:p w:rsidR="00742E00" w:rsidRPr="00D82A93" w:rsidRDefault="00742E00" w:rsidP="007750AA">
            <w:pPr>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Ongoing</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vMerge w:val="restart"/>
          </w:tcPr>
          <w:p w:rsidR="00742E00" w:rsidRPr="00D82A93" w:rsidRDefault="00742E00" w:rsidP="007750AA">
            <w:pPr>
              <w:rPr>
                <w:rFonts w:ascii="Arial" w:hAnsi="Arial" w:cs="Arial"/>
              </w:rPr>
            </w:pPr>
            <w:r w:rsidRPr="00D82A93">
              <w:rPr>
                <w:rFonts w:ascii="Arial" w:hAnsi="Arial" w:cs="Arial"/>
              </w:rPr>
              <w:t>End to end development service</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Identify project leads for all housing sites</w:t>
            </w:r>
          </w:p>
        </w:tc>
        <w:tc>
          <w:tcPr>
            <w:tcW w:w="1643" w:type="dxa"/>
          </w:tcPr>
          <w:p w:rsidR="00742E00" w:rsidRPr="00D82A93" w:rsidRDefault="00742E00" w:rsidP="007750AA">
            <w:pPr>
              <w:rPr>
                <w:rFonts w:ascii="Arial" w:hAnsi="Arial" w:cs="Arial"/>
              </w:rPr>
            </w:pPr>
            <w:r w:rsidRPr="00D82A93">
              <w:rPr>
                <w:rFonts w:ascii="Arial" w:hAnsi="Arial" w:cs="Arial"/>
              </w:rPr>
              <w:t>JN, NR</w:t>
            </w:r>
          </w:p>
        </w:tc>
        <w:tc>
          <w:tcPr>
            <w:tcW w:w="1950" w:type="dxa"/>
          </w:tcPr>
          <w:p w:rsidR="00742E00" w:rsidRPr="00D82A93" w:rsidRDefault="00742E00" w:rsidP="007750AA">
            <w:pPr>
              <w:rPr>
                <w:rFonts w:ascii="Arial" w:hAnsi="Arial" w:cs="Arial"/>
              </w:rPr>
            </w:pPr>
            <w:r w:rsidRPr="00D82A93">
              <w:rPr>
                <w:rFonts w:ascii="Arial" w:hAnsi="Arial" w:cs="Arial"/>
              </w:rPr>
              <w:t>Complete</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Engage in project management for sites as set out in Theme 2 project management below</w:t>
            </w: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tc>
        <w:tc>
          <w:tcPr>
            <w:tcW w:w="1950" w:type="dxa"/>
          </w:tcPr>
          <w:p w:rsidR="00742E00" w:rsidRPr="00D82A93" w:rsidRDefault="00742E00" w:rsidP="007750AA">
            <w:pPr>
              <w:rPr>
                <w:rFonts w:ascii="Arial" w:hAnsi="Arial" w:cs="Arial"/>
              </w:rPr>
            </w:pPr>
            <w:r w:rsidRPr="00D82A93">
              <w:rPr>
                <w:rFonts w:ascii="Arial" w:hAnsi="Arial" w:cs="Arial"/>
              </w:rPr>
              <w:t>Ongoing</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2</w:t>
            </w: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Stakeholder engagement</w:t>
            </w: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tc>
        <w:tc>
          <w:tcPr>
            <w:tcW w:w="1950" w:type="dxa"/>
          </w:tcPr>
          <w:p w:rsidR="00742E00" w:rsidRPr="00D82A93" w:rsidRDefault="00742E00" w:rsidP="007750AA">
            <w:pPr>
              <w:rPr>
                <w:rFonts w:ascii="Arial" w:hAnsi="Arial" w:cs="Arial"/>
              </w:rPr>
            </w:pPr>
            <w:r w:rsidRPr="00D82A93">
              <w:rPr>
                <w:rFonts w:ascii="Arial" w:hAnsi="Arial" w:cs="Arial"/>
              </w:rPr>
              <w:t>Identified through project management approach below.</w:t>
            </w:r>
          </w:p>
          <w:p w:rsidR="00742E00" w:rsidRPr="00D82A93" w:rsidRDefault="00742E00" w:rsidP="007750AA">
            <w:pPr>
              <w:rPr>
                <w:rFonts w:ascii="Arial" w:hAnsi="Arial" w:cs="Arial"/>
              </w:rPr>
            </w:pPr>
          </w:p>
          <w:p w:rsidR="00742E00" w:rsidRPr="00D82A93" w:rsidRDefault="00742E00" w:rsidP="007750AA">
            <w:pPr>
              <w:rPr>
                <w:rFonts w:ascii="Arial" w:hAnsi="Arial" w:cs="Arial"/>
              </w:rPr>
            </w:pPr>
            <w:r w:rsidRPr="00D82A93">
              <w:rPr>
                <w:rFonts w:ascii="Arial" w:hAnsi="Arial" w:cs="Arial"/>
              </w:rPr>
              <w:t>Ongoing</w:t>
            </w:r>
          </w:p>
        </w:tc>
      </w:tr>
      <w:tr w:rsidR="00742E00" w:rsidRPr="00D82A93" w:rsidTr="007750AA">
        <w:tc>
          <w:tcPr>
            <w:tcW w:w="1933" w:type="dxa"/>
            <w:vMerge w:val="restart"/>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t>Project Management</w:t>
            </w: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vMerge w:val="restart"/>
          </w:tcPr>
          <w:p w:rsidR="00742E00" w:rsidRPr="00D82A93" w:rsidRDefault="00742E00" w:rsidP="007750AA">
            <w:pPr>
              <w:rPr>
                <w:rFonts w:ascii="Arial" w:hAnsi="Arial" w:cs="Arial"/>
              </w:rPr>
            </w:pPr>
            <w:r w:rsidRPr="00D82A93">
              <w:rPr>
                <w:rFonts w:ascii="Arial" w:hAnsi="Arial" w:cs="Arial"/>
              </w:rPr>
              <w:t>Establish “Best Practice” Approach to Project Management of Development Sites</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Project plans for key sites and key themes</w:t>
            </w:r>
          </w:p>
          <w:p w:rsidR="00742E00" w:rsidRPr="00D82A93" w:rsidRDefault="00742E00" w:rsidP="007750AA">
            <w:pPr>
              <w:ind w:left="316" w:hanging="289"/>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w:t>
            </w:r>
          </w:p>
        </w:tc>
        <w:tc>
          <w:tcPr>
            <w:tcW w:w="1950" w:type="dxa"/>
          </w:tcPr>
          <w:p w:rsidR="00742E00" w:rsidRPr="00D82A93" w:rsidRDefault="00742E00" w:rsidP="007750AA">
            <w:pPr>
              <w:rPr>
                <w:rFonts w:ascii="Arial" w:hAnsi="Arial" w:cs="Arial"/>
              </w:rPr>
            </w:pPr>
            <w:r w:rsidRPr="00D82A93">
              <w:rPr>
                <w:rFonts w:ascii="Arial" w:hAnsi="Arial" w:cs="Arial"/>
              </w:rPr>
              <w:t>Target Q2</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2</w:t>
            </w: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contextualSpacing w:val="0"/>
              <w:rPr>
                <w:rFonts w:ascii="Arial" w:hAnsi="Arial" w:cs="Arial"/>
              </w:rPr>
            </w:pPr>
            <w:r w:rsidRPr="00D82A93">
              <w:rPr>
                <w:rFonts w:ascii="Arial" w:hAnsi="Arial" w:cs="Arial"/>
              </w:rPr>
              <w:t>Project management training</w:t>
            </w:r>
          </w:p>
          <w:p w:rsidR="00742E00" w:rsidRPr="00D82A93" w:rsidRDefault="00742E00" w:rsidP="007750AA">
            <w:pPr>
              <w:ind w:left="316" w:hanging="289"/>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City Deal</w:t>
            </w:r>
          </w:p>
        </w:tc>
        <w:tc>
          <w:tcPr>
            <w:tcW w:w="1950" w:type="dxa"/>
          </w:tcPr>
          <w:p w:rsidR="00742E00" w:rsidRPr="00D82A93" w:rsidRDefault="00742E00" w:rsidP="007750AA">
            <w:pPr>
              <w:rPr>
                <w:rFonts w:ascii="Arial" w:hAnsi="Arial" w:cs="Arial"/>
              </w:rPr>
            </w:pPr>
            <w:r w:rsidRPr="00D82A93">
              <w:rPr>
                <w:rFonts w:ascii="Arial" w:hAnsi="Arial" w:cs="Arial"/>
              </w:rPr>
              <w:t>Target Q2 2016</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vMerge w:val="restart"/>
          </w:tcPr>
          <w:p w:rsidR="00742E00" w:rsidRPr="00D82A93" w:rsidRDefault="00742E00" w:rsidP="007750AA">
            <w:pPr>
              <w:rPr>
                <w:rFonts w:ascii="Arial" w:hAnsi="Arial" w:cs="Arial"/>
              </w:rPr>
            </w:pPr>
            <w:r w:rsidRPr="00D82A93">
              <w:rPr>
                <w:rFonts w:ascii="Arial" w:hAnsi="Arial" w:cs="Arial"/>
              </w:rPr>
              <w:t>Understanding blockages actual and potential in the development process.</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Identify key planning issues for all housing sites</w:t>
            </w:r>
          </w:p>
          <w:p w:rsidR="00742E00" w:rsidRPr="00D82A93" w:rsidRDefault="00742E00" w:rsidP="007750AA">
            <w:pPr>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Complete</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p w:rsidR="00742E00" w:rsidRPr="00D82A93" w:rsidRDefault="00742E00" w:rsidP="007750AA">
            <w:pPr>
              <w:rPr>
                <w:rFonts w:ascii="Arial" w:hAnsi="Arial" w:cs="Arial"/>
              </w:rPr>
            </w:pP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Development management workshop as part of issues identification</w:t>
            </w:r>
          </w:p>
          <w:p w:rsidR="00742E00" w:rsidRPr="00D82A93" w:rsidRDefault="00742E00" w:rsidP="007750AA">
            <w:pPr>
              <w:pStyle w:val="ListParagraph"/>
              <w:ind w:left="316"/>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Q2 2016</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2</w:t>
            </w:r>
          </w:p>
        </w:tc>
        <w:tc>
          <w:tcPr>
            <w:tcW w:w="3165" w:type="dxa"/>
          </w:tcPr>
          <w:p w:rsidR="00742E00" w:rsidRPr="00D82A93" w:rsidRDefault="00742E00" w:rsidP="007750AA">
            <w:pPr>
              <w:rPr>
                <w:rFonts w:ascii="Arial" w:hAnsi="Arial" w:cs="Arial"/>
              </w:rPr>
            </w:pPr>
            <w:r w:rsidRPr="00D82A93">
              <w:rPr>
                <w:rFonts w:ascii="Arial" w:hAnsi="Arial" w:cs="Arial"/>
              </w:rPr>
              <w:t>Addressing issues</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Prioritise work across sites</w:t>
            </w:r>
          </w:p>
          <w:p w:rsidR="00742E00" w:rsidRPr="00D82A93" w:rsidRDefault="00742E00" w:rsidP="007750AA">
            <w:pPr>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Complete and ongoing</w:t>
            </w:r>
          </w:p>
        </w:tc>
      </w:tr>
      <w:tr w:rsidR="00742E00" w:rsidRPr="00D82A93" w:rsidTr="007750AA">
        <w:tc>
          <w:tcPr>
            <w:tcW w:w="1933" w:type="dxa"/>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t>Monitoring</w:t>
            </w:r>
          </w:p>
        </w:tc>
        <w:tc>
          <w:tcPr>
            <w:tcW w:w="1038" w:type="dxa"/>
          </w:tcPr>
          <w:p w:rsidR="00742E00" w:rsidRPr="00D82A93" w:rsidRDefault="00742E00" w:rsidP="007750AA">
            <w:pPr>
              <w:jc w:val="center"/>
              <w:rPr>
                <w:rFonts w:ascii="Arial" w:hAnsi="Arial" w:cs="Arial"/>
              </w:rPr>
            </w:pPr>
            <w:r w:rsidRPr="00D82A93">
              <w:rPr>
                <w:rFonts w:ascii="Arial" w:hAnsi="Arial" w:cs="Arial"/>
              </w:rPr>
              <w:t>2</w:t>
            </w:r>
          </w:p>
        </w:tc>
        <w:tc>
          <w:tcPr>
            <w:tcW w:w="3165" w:type="dxa"/>
          </w:tcPr>
          <w:p w:rsidR="00742E00" w:rsidRPr="00D82A93" w:rsidRDefault="00742E00" w:rsidP="007750AA">
            <w:pPr>
              <w:rPr>
                <w:rFonts w:ascii="Arial" w:hAnsi="Arial" w:cs="Arial"/>
              </w:rPr>
            </w:pPr>
            <w:r w:rsidRPr="00D82A93">
              <w:rPr>
                <w:rFonts w:ascii="Arial" w:hAnsi="Arial" w:cs="Arial"/>
              </w:rPr>
              <w:t>Wider role of monitoring i.e. not just headline figures for each site but a full understanding of where each site is up to</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Introduce a key sites e-hub with a dashboard of key facts for each site together with case update notes so that all can see what is happening on a site at a glance.  Ensure consistency with existing BDP monitoring arrangements.</w:t>
            </w:r>
          </w:p>
          <w:p w:rsidR="00742E00" w:rsidRPr="00D82A93" w:rsidRDefault="00742E00" w:rsidP="00742E00">
            <w:pPr>
              <w:pStyle w:val="ListParagraph"/>
              <w:numPr>
                <w:ilvl w:val="0"/>
                <w:numId w:val="11"/>
              </w:numPr>
              <w:ind w:left="316" w:hanging="289"/>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EP and project leads for sites</w:t>
            </w:r>
          </w:p>
        </w:tc>
        <w:tc>
          <w:tcPr>
            <w:tcW w:w="1950" w:type="dxa"/>
          </w:tcPr>
          <w:p w:rsidR="00742E00" w:rsidRPr="00D82A93" w:rsidRDefault="00742E00" w:rsidP="007750AA">
            <w:pPr>
              <w:rPr>
                <w:rFonts w:ascii="Arial" w:hAnsi="Arial" w:cs="Arial"/>
              </w:rPr>
            </w:pPr>
            <w:r w:rsidRPr="00D82A93">
              <w:rPr>
                <w:rFonts w:ascii="Arial" w:hAnsi="Arial" w:cs="Arial"/>
              </w:rPr>
              <w:t>Ongoing</w:t>
            </w:r>
          </w:p>
        </w:tc>
      </w:tr>
      <w:tr w:rsidR="00742E00" w:rsidRPr="00D82A93" w:rsidTr="007750AA">
        <w:tc>
          <w:tcPr>
            <w:tcW w:w="1933" w:type="dxa"/>
            <w:vMerge w:val="restart"/>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t>Member Engagement</w:t>
            </w:r>
          </w:p>
        </w:tc>
        <w:tc>
          <w:tcPr>
            <w:tcW w:w="1038" w:type="dxa"/>
            <w:vMerge w:val="restart"/>
          </w:tcPr>
          <w:p w:rsidR="00742E00" w:rsidRPr="00D82A93" w:rsidRDefault="00742E00" w:rsidP="007750AA">
            <w:pPr>
              <w:jc w:val="center"/>
              <w:rPr>
                <w:rFonts w:ascii="Arial" w:hAnsi="Arial" w:cs="Arial"/>
              </w:rPr>
            </w:pPr>
            <w:r w:rsidRPr="00D82A93">
              <w:rPr>
                <w:rFonts w:ascii="Arial" w:hAnsi="Arial" w:cs="Arial"/>
              </w:rPr>
              <w:t>3</w:t>
            </w:r>
          </w:p>
        </w:tc>
        <w:tc>
          <w:tcPr>
            <w:tcW w:w="3165" w:type="dxa"/>
            <w:vMerge w:val="restart"/>
          </w:tcPr>
          <w:p w:rsidR="00742E00" w:rsidRPr="00D82A93" w:rsidRDefault="00742E00" w:rsidP="007750AA">
            <w:pPr>
              <w:rPr>
                <w:rFonts w:ascii="Arial" w:hAnsi="Arial" w:cs="Arial"/>
              </w:rPr>
            </w:pPr>
            <w:r w:rsidRPr="00D82A93">
              <w:rPr>
                <w:rFonts w:ascii="Arial" w:hAnsi="Arial" w:cs="Arial"/>
              </w:rPr>
              <w:t xml:space="preserve">Ensure Members are fully aware of City Deal priorities and the role of sites within this </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Standard paragraph in planning application reports.</w:t>
            </w:r>
          </w:p>
          <w:p w:rsidR="00742E00" w:rsidRPr="00D82A93" w:rsidRDefault="00742E00" w:rsidP="007750AA">
            <w:pPr>
              <w:ind w:left="316" w:hanging="289"/>
              <w:rPr>
                <w:rFonts w:ascii="Arial" w:hAnsi="Arial" w:cs="Arial"/>
              </w:rPr>
            </w:pPr>
          </w:p>
          <w:p w:rsidR="00742E00" w:rsidRPr="00D82A93" w:rsidRDefault="00742E00" w:rsidP="007750AA">
            <w:pPr>
              <w:ind w:left="316" w:hanging="289"/>
              <w:rPr>
                <w:rFonts w:ascii="Arial" w:hAnsi="Arial" w:cs="Arial"/>
              </w:rPr>
            </w:pPr>
          </w:p>
          <w:p w:rsidR="00742E00" w:rsidRPr="00D82A93" w:rsidRDefault="00742E00" w:rsidP="007750AA">
            <w:pPr>
              <w:ind w:left="316" w:hanging="289"/>
              <w:rPr>
                <w:rFonts w:ascii="Arial" w:hAnsi="Arial" w:cs="Arial"/>
              </w:rPr>
            </w:pPr>
          </w:p>
          <w:p w:rsidR="00742E00" w:rsidRPr="00D82A93" w:rsidRDefault="00742E00" w:rsidP="007750AA">
            <w:pPr>
              <w:pStyle w:val="ListParagraph"/>
              <w:ind w:left="316"/>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 Development Management heads and project leads.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Ongoing</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p w:rsidR="00742E00" w:rsidRPr="00D82A93" w:rsidRDefault="00742E00" w:rsidP="007750AA">
            <w:pPr>
              <w:rPr>
                <w:rFonts w:ascii="Arial" w:hAnsi="Arial" w:cs="Arial"/>
              </w:rPr>
            </w:pP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vMerge/>
          </w:tcPr>
          <w:p w:rsidR="00742E00" w:rsidRPr="00D82A93" w:rsidRDefault="00742E00" w:rsidP="007750AA">
            <w:pPr>
              <w:jc w:val="center"/>
              <w:rPr>
                <w:rFonts w:ascii="Arial" w:hAnsi="Arial" w:cs="Arial"/>
              </w:rPr>
            </w:pP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Member briefing/training on City Deal.</w:t>
            </w:r>
          </w:p>
          <w:p w:rsidR="00742E00" w:rsidRPr="00D82A93" w:rsidRDefault="00742E00" w:rsidP="007750AA">
            <w:pPr>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 and project leads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Six monthly starting Q2 2016</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vMerge/>
          </w:tcPr>
          <w:p w:rsidR="00742E00" w:rsidRPr="00D82A93" w:rsidRDefault="00742E00" w:rsidP="007750AA">
            <w:pPr>
              <w:jc w:val="center"/>
              <w:rPr>
                <w:rFonts w:ascii="Arial" w:hAnsi="Arial" w:cs="Arial"/>
              </w:rPr>
            </w:pPr>
          </w:p>
        </w:tc>
        <w:tc>
          <w:tcPr>
            <w:tcW w:w="3165" w:type="dxa"/>
            <w:vMerge/>
          </w:tcPr>
          <w:p w:rsidR="00742E00" w:rsidRPr="00D82A93" w:rsidRDefault="00742E00" w:rsidP="007750AA">
            <w:pPr>
              <w:rPr>
                <w:rFonts w:ascii="Arial" w:hAnsi="Arial" w:cs="Arial"/>
              </w:rPr>
            </w:pP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Updates to JAC</w:t>
            </w:r>
          </w:p>
        </w:tc>
        <w:tc>
          <w:tcPr>
            <w:tcW w:w="1643" w:type="dxa"/>
          </w:tcPr>
          <w:p w:rsidR="00742E00" w:rsidRPr="00D82A93" w:rsidRDefault="00742E00" w:rsidP="007750AA">
            <w:pPr>
              <w:rPr>
                <w:rFonts w:ascii="Arial" w:hAnsi="Arial" w:cs="Arial"/>
              </w:rPr>
            </w:pPr>
            <w:r w:rsidRPr="00D82A93">
              <w:rPr>
                <w:rFonts w:ascii="Arial" w:hAnsi="Arial" w:cs="Arial"/>
              </w:rPr>
              <w:t>MH</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Six monthly starting Q1 2016</w:t>
            </w:r>
          </w:p>
          <w:p w:rsidR="00742E00" w:rsidRPr="00D82A93" w:rsidRDefault="00742E00" w:rsidP="007750AA">
            <w:pPr>
              <w:rPr>
                <w:rFonts w:ascii="Arial" w:hAnsi="Arial" w:cs="Arial"/>
              </w:rPr>
            </w:pPr>
          </w:p>
        </w:tc>
      </w:tr>
      <w:tr w:rsidR="00742E00" w:rsidRPr="00D82A93" w:rsidTr="007750AA">
        <w:tc>
          <w:tcPr>
            <w:tcW w:w="1933" w:type="dxa"/>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t>Visibility of City Deal</w:t>
            </w:r>
          </w:p>
        </w:tc>
        <w:tc>
          <w:tcPr>
            <w:tcW w:w="1038" w:type="dxa"/>
          </w:tcPr>
          <w:p w:rsidR="00742E00" w:rsidRPr="00D82A93" w:rsidRDefault="00742E00" w:rsidP="007750AA">
            <w:pPr>
              <w:jc w:val="center"/>
              <w:rPr>
                <w:rFonts w:ascii="Arial" w:hAnsi="Arial" w:cs="Arial"/>
              </w:rPr>
            </w:pPr>
            <w:r w:rsidRPr="00D82A93">
              <w:rPr>
                <w:rFonts w:ascii="Arial" w:hAnsi="Arial" w:cs="Arial"/>
              </w:rPr>
              <w:t>2</w:t>
            </w:r>
          </w:p>
        </w:tc>
        <w:tc>
          <w:tcPr>
            <w:tcW w:w="3165" w:type="dxa"/>
          </w:tcPr>
          <w:p w:rsidR="00742E00" w:rsidRPr="00D82A93" w:rsidRDefault="00742E00" w:rsidP="007750AA">
            <w:pPr>
              <w:rPr>
                <w:rFonts w:ascii="Arial" w:hAnsi="Arial" w:cs="Arial"/>
              </w:rPr>
            </w:pPr>
            <w:r w:rsidRPr="00D82A93">
              <w:rPr>
                <w:rFonts w:ascii="Arial" w:hAnsi="Arial" w:cs="Arial"/>
              </w:rPr>
              <w:t>Engagement with the development industry</w:t>
            </w:r>
          </w:p>
        </w:tc>
        <w:tc>
          <w:tcPr>
            <w:tcW w:w="4163" w:type="dxa"/>
          </w:tcPr>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Selling City Deal at key developer events/meetings</w:t>
            </w:r>
          </w:p>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Develop fit for purpose slide deck for presentations</w:t>
            </w:r>
          </w:p>
          <w:p w:rsidR="00742E00" w:rsidRPr="00D82A93" w:rsidRDefault="00742E00" w:rsidP="007750AA">
            <w:pPr>
              <w:ind w:left="316" w:hanging="289"/>
              <w:rPr>
                <w:rFonts w:ascii="Arial" w:hAnsi="Arial" w:cs="Arial"/>
              </w:rPr>
            </w:pPr>
          </w:p>
          <w:p w:rsidR="00742E00" w:rsidRPr="00D82A93" w:rsidRDefault="00742E00" w:rsidP="00742E00">
            <w:pPr>
              <w:pStyle w:val="ListParagraph"/>
              <w:numPr>
                <w:ilvl w:val="0"/>
                <w:numId w:val="11"/>
              </w:numPr>
              <w:ind w:left="316" w:hanging="289"/>
              <w:rPr>
                <w:rFonts w:ascii="Arial" w:hAnsi="Arial" w:cs="Arial"/>
              </w:rPr>
            </w:pPr>
            <w:r w:rsidRPr="00D82A93">
              <w:rPr>
                <w:rFonts w:ascii="Arial" w:hAnsi="Arial" w:cs="Arial"/>
              </w:rPr>
              <w:t>Engagement with developers and land owners on unimplemented planning permissions</w:t>
            </w:r>
          </w:p>
          <w:p w:rsidR="00742E00" w:rsidRPr="00D82A93" w:rsidRDefault="00742E00" w:rsidP="007750AA">
            <w:pPr>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KM, NR</w:t>
            </w:r>
          </w:p>
          <w:p w:rsidR="00742E00" w:rsidRPr="00D82A93" w:rsidRDefault="00742E00" w:rsidP="007750AA">
            <w:pPr>
              <w:rPr>
                <w:rFonts w:ascii="Arial" w:hAnsi="Arial" w:cs="Arial"/>
              </w:rPr>
            </w:pPr>
          </w:p>
          <w:p w:rsidR="00742E00" w:rsidRPr="00D82A93" w:rsidRDefault="00742E00" w:rsidP="007750AA">
            <w:pPr>
              <w:rPr>
                <w:rFonts w:ascii="Arial" w:hAnsi="Arial" w:cs="Arial"/>
              </w:rPr>
            </w:pPr>
            <w:r w:rsidRPr="00D82A93">
              <w:rPr>
                <w:rFonts w:ascii="Arial" w:hAnsi="Arial" w:cs="Arial"/>
              </w:rPr>
              <w:t>Comms  Leads</w:t>
            </w:r>
          </w:p>
        </w:tc>
        <w:tc>
          <w:tcPr>
            <w:tcW w:w="1950" w:type="dxa"/>
          </w:tcPr>
          <w:p w:rsidR="00742E00" w:rsidRPr="00D82A93" w:rsidRDefault="00742E00" w:rsidP="007750AA">
            <w:pPr>
              <w:rPr>
                <w:rFonts w:ascii="Arial" w:hAnsi="Arial" w:cs="Arial"/>
              </w:rPr>
            </w:pPr>
            <w:r w:rsidRPr="00D82A93">
              <w:rPr>
                <w:rFonts w:ascii="Arial" w:hAnsi="Arial" w:cs="Arial"/>
              </w:rPr>
              <w:t>Events to be identified</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p w:rsidR="00742E00" w:rsidRPr="00D82A93" w:rsidRDefault="00742E00" w:rsidP="007750AA">
            <w:pPr>
              <w:rPr>
                <w:rFonts w:ascii="Arial" w:hAnsi="Arial" w:cs="Arial"/>
              </w:rPr>
            </w:pPr>
            <w:r w:rsidRPr="00D82A93">
              <w:rPr>
                <w:rFonts w:ascii="Arial" w:hAnsi="Arial" w:cs="Arial"/>
              </w:rPr>
              <w:t>Ongoing</w:t>
            </w:r>
          </w:p>
          <w:p w:rsidR="00742E00" w:rsidRPr="00D82A93" w:rsidRDefault="00742E00" w:rsidP="007750AA">
            <w:pPr>
              <w:rPr>
                <w:rFonts w:ascii="Arial" w:hAnsi="Arial" w:cs="Arial"/>
              </w:rPr>
            </w:pPr>
          </w:p>
          <w:p w:rsidR="00742E00" w:rsidRPr="00D82A93" w:rsidRDefault="00742E00" w:rsidP="007750AA">
            <w:pPr>
              <w:rPr>
                <w:rFonts w:ascii="Arial" w:hAnsi="Arial" w:cs="Arial"/>
              </w:rPr>
            </w:pPr>
          </w:p>
        </w:tc>
      </w:tr>
      <w:tr w:rsidR="00742E00" w:rsidRPr="00D82A93" w:rsidTr="007750AA">
        <w:tc>
          <w:tcPr>
            <w:tcW w:w="1933" w:type="dxa"/>
            <w:vMerge w:val="restart"/>
            <w:shd w:val="clear" w:color="auto" w:fill="D0CECE" w:themeFill="background2" w:themeFillShade="E6"/>
          </w:tcPr>
          <w:p w:rsidR="00742E00" w:rsidRPr="00D82A93" w:rsidRDefault="00742E00" w:rsidP="007750AA">
            <w:pPr>
              <w:rPr>
                <w:rFonts w:ascii="Arial" w:hAnsi="Arial" w:cs="Arial"/>
              </w:rPr>
            </w:pPr>
            <w:r w:rsidRPr="00D82A93">
              <w:rPr>
                <w:rFonts w:ascii="Arial" w:hAnsi="Arial" w:cs="Arial"/>
              </w:rPr>
              <w:lastRenderedPageBreak/>
              <w:t>Speeding up Decisions</w:t>
            </w:r>
          </w:p>
        </w:tc>
        <w:tc>
          <w:tcPr>
            <w:tcW w:w="1038" w:type="dxa"/>
          </w:tcPr>
          <w:p w:rsidR="00742E00" w:rsidRPr="00D82A93" w:rsidRDefault="00742E00" w:rsidP="007750AA">
            <w:pPr>
              <w:jc w:val="center"/>
              <w:rPr>
                <w:rFonts w:ascii="Arial" w:hAnsi="Arial" w:cs="Arial"/>
              </w:rPr>
            </w:pPr>
            <w:r w:rsidRPr="00D82A93">
              <w:rPr>
                <w:rFonts w:ascii="Arial" w:hAnsi="Arial" w:cs="Arial"/>
              </w:rPr>
              <w:t>3</w:t>
            </w:r>
          </w:p>
        </w:tc>
        <w:tc>
          <w:tcPr>
            <w:tcW w:w="3165" w:type="dxa"/>
          </w:tcPr>
          <w:p w:rsidR="00742E00" w:rsidRPr="00D82A93" w:rsidRDefault="00742E00" w:rsidP="007750AA">
            <w:pPr>
              <w:rPr>
                <w:rFonts w:ascii="Arial" w:hAnsi="Arial" w:cs="Arial"/>
              </w:rPr>
            </w:pPr>
            <w:r w:rsidRPr="00D82A93">
              <w:rPr>
                <w:rFonts w:ascii="Arial" w:hAnsi="Arial" w:cs="Arial"/>
              </w:rPr>
              <w:t>Ensure Development Management Teams are resourced staff and IT wise</w:t>
            </w:r>
          </w:p>
        </w:tc>
        <w:tc>
          <w:tcPr>
            <w:tcW w:w="4163" w:type="dxa"/>
          </w:tcPr>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Heads of Planning to continually assess resources given case load and performance</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Share resources to manage peaks and troughs</w:t>
            </w:r>
          </w:p>
          <w:p w:rsidR="00742E00" w:rsidRPr="00D82A93" w:rsidRDefault="00742E00" w:rsidP="007750AA">
            <w:pPr>
              <w:pStyle w:val="ListParagraph"/>
              <w:ind w:left="317"/>
              <w:contextualSpacing w:val="0"/>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 Development Management heads and project leads.</w:t>
            </w:r>
          </w:p>
        </w:tc>
        <w:tc>
          <w:tcPr>
            <w:tcW w:w="1950" w:type="dxa"/>
          </w:tcPr>
          <w:p w:rsidR="00742E00" w:rsidRPr="00D82A93" w:rsidRDefault="00742E00" w:rsidP="007750AA">
            <w:pPr>
              <w:rPr>
                <w:rFonts w:ascii="Arial" w:hAnsi="Arial" w:cs="Arial"/>
              </w:rPr>
            </w:pPr>
            <w:r w:rsidRPr="00D82A93">
              <w:rPr>
                <w:rFonts w:ascii="Arial" w:hAnsi="Arial" w:cs="Arial"/>
              </w:rPr>
              <w:t>Ongoing</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3</w:t>
            </w:r>
          </w:p>
        </w:tc>
        <w:tc>
          <w:tcPr>
            <w:tcW w:w="3165" w:type="dxa"/>
          </w:tcPr>
          <w:p w:rsidR="00742E00" w:rsidRPr="00D82A93" w:rsidRDefault="00742E00" w:rsidP="007750AA">
            <w:pPr>
              <w:rPr>
                <w:rFonts w:ascii="Arial" w:hAnsi="Arial" w:cs="Arial"/>
              </w:rPr>
            </w:pPr>
            <w:r w:rsidRPr="00D82A93">
              <w:rPr>
                <w:rFonts w:ascii="Arial" w:hAnsi="Arial" w:cs="Arial"/>
              </w:rPr>
              <w:t>Ensure focus is not just on big applications but also discharge of conditions</w:t>
            </w:r>
          </w:p>
        </w:tc>
        <w:tc>
          <w:tcPr>
            <w:tcW w:w="4163" w:type="dxa"/>
          </w:tcPr>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Training for Case Officers</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Management responsibility to ensure dealt with as quickly</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Targets for time conditions are discharged</w:t>
            </w:r>
          </w:p>
          <w:p w:rsidR="00742E00" w:rsidRPr="00D82A93" w:rsidRDefault="00742E00" w:rsidP="007750AA">
            <w:pPr>
              <w:pStyle w:val="ListParagraph"/>
              <w:ind w:left="317"/>
              <w:contextualSpacing w:val="0"/>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JN, NR, Development Management heads and project leads.</w:t>
            </w:r>
          </w:p>
        </w:tc>
        <w:tc>
          <w:tcPr>
            <w:tcW w:w="1950" w:type="dxa"/>
          </w:tcPr>
          <w:p w:rsidR="00742E00" w:rsidRPr="00D82A93" w:rsidRDefault="00742E00" w:rsidP="007750AA">
            <w:pPr>
              <w:rPr>
                <w:rFonts w:ascii="Arial" w:hAnsi="Arial" w:cs="Arial"/>
              </w:rPr>
            </w:pPr>
            <w:r w:rsidRPr="00D82A93">
              <w:rPr>
                <w:rFonts w:ascii="Arial" w:hAnsi="Arial" w:cs="Arial"/>
              </w:rPr>
              <w:t>Ongoing</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3</w:t>
            </w:r>
          </w:p>
        </w:tc>
        <w:tc>
          <w:tcPr>
            <w:tcW w:w="3165" w:type="dxa"/>
          </w:tcPr>
          <w:p w:rsidR="00742E00" w:rsidRPr="00D82A93" w:rsidRDefault="00742E00" w:rsidP="007750AA">
            <w:pPr>
              <w:rPr>
                <w:rFonts w:ascii="Arial" w:hAnsi="Arial" w:cs="Arial"/>
              </w:rPr>
            </w:pPr>
            <w:r w:rsidRPr="00D82A93">
              <w:rPr>
                <w:rFonts w:ascii="Arial" w:hAnsi="Arial" w:cs="Arial"/>
              </w:rPr>
              <w:t>Offer a pre-application plus service</w:t>
            </w:r>
          </w:p>
        </w:tc>
        <w:tc>
          <w:tcPr>
            <w:tcW w:w="4163" w:type="dxa"/>
          </w:tcPr>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Developers pay premium for fast-track registration and validation</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Marketing of pre app service</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Agents accreditation scheme</w:t>
            </w:r>
          </w:p>
        </w:tc>
        <w:tc>
          <w:tcPr>
            <w:tcW w:w="1643" w:type="dxa"/>
          </w:tcPr>
          <w:p w:rsidR="00742E00" w:rsidRPr="00D82A93" w:rsidRDefault="00742E00" w:rsidP="007750AA">
            <w:pPr>
              <w:rPr>
                <w:rFonts w:ascii="Arial" w:hAnsi="Arial" w:cs="Arial"/>
              </w:rPr>
            </w:pPr>
            <w:r w:rsidRPr="00D82A93">
              <w:rPr>
                <w:rFonts w:ascii="Arial" w:hAnsi="Arial" w:cs="Arial"/>
              </w:rPr>
              <w:t>JN, NR, Development Management heads and project leads.</w:t>
            </w:r>
          </w:p>
          <w:p w:rsidR="00742E00" w:rsidRPr="00D82A93" w:rsidRDefault="00742E00" w:rsidP="007750AA">
            <w:pPr>
              <w:rPr>
                <w:rFonts w:ascii="Arial" w:hAnsi="Arial" w:cs="Arial"/>
              </w:rPr>
            </w:pPr>
          </w:p>
        </w:tc>
        <w:tc>
          <w:tcPr>
            <w:tcW w:w="1950" w:type="dxa"/>
          </w:tcPr>
          <w:p w:rsidR="00742E00" w:rsidRPr="00D82A93" w:rsidRDefault="00742E00" w:rsidP="007750AA">
            <w:pPr>
              <w:rPr>
                <w:rFonts w:ascii="Arial" w:hAnsi="Arial" w:cs="Arial"/>
              </w:rPr>
            </w:pPr>
            <w:r w:rsidRPr="00D82A93">
              <w:rPr>
                <w:rFonts w:ascii="Arial" w:hAnsi="Arial" w:cs="Arial"/>
              </w:rPr>
              <w:t>SRBC and PCC to discuss further in Q2/3 2016/17</w:t>
            </w:r>
          </w:p>
        </w:tc>
      </w:tr>
      <w:tr w:rsidR="00742E00" w:rsidRPr="00D82A93" w:rsidTr="007750AA">
        <w:tc>
          <w:tcPr>
            <w:tcW w:w="1933" w:type="dxa"/>
            <w:vMerge/>
            <w:shd w:val="clear" w:color="auto" w:fill="D0CECE" w:themeFill="background2" w:themeFillShade="E6"/>
          </w:tcPr>
          <w:p w:rsidR="00742E00" w:rsidRPr="00D82A93" w:rsidRDefault="00742E00" w:rsidP="007750AA">
            <w:pPr>
              <w:rPr>
                <w:rFonts w:ascii="Arial" w:hAnsi="Arial" w:cs="Arial"/>
              </w:rPr>
            </w:pPr>
          </w:p>
        </w:tc>
        <w:tc>
          <w:tcPr>
            <w:tcW w:w="1038" w:type="dxa"/>
          </w:tcPr>
          <w:p w:rsidR="00742E00" w:rsidRPr="00D82A93" w:rsidRDefault="00742E00" w:rsidP="007750AA">
            <w:pPr>
              <w:jc w:val="center"/>
              <w:rPr>
                <w:rFonts w:ascii="Arial" w:hAnsi="Arial" w:cs="Arial"/>
              </w:rPr>
            </w:pPr>
            <w:r w:rsidRPr="00D82A93">
              <w:rPr>
                <w:rFonts w:ascii="Arial" w:hAnsi="Arial" w:cs="Arial"/>
              </w:rPr>
              <w:t>1</w:t>
            </w:r>
          </w:p>
        </w:tc>
        <w:tc>
          <w:tcPr>
            <w:tcW w:w="3165" w:type="dxa"/>
          </w:tcPr>
          <w:p w:rsidR="00742E00" w:rsidRPr="00D82A93" w:rsidRDefault="00742E00" w:rsidP="007750AA">
            <w:pPr>
              <w:rPr>
                <w:rFonts w:ascii="Arial" w:hAnsi="Arial" w:cs="Arial"/>
              </w:rPr>
            </w:pPr>
            <w:r w:rsidRPr="00D82A93">
              <w:rPr>
                <w:rFonts w:ascii="Arial" w:hAnsi="Arial" w:cs="Arial"/>
              </w:rPr>
              <w:t>Ensure Statutory Consultees “buy in” to City Deal and speed of decision making and discharge of conditions</w:t>
            </w:r>
          </w:p>
        </w:tc>
        <w:tc>
          <w:tcPr>
            <w:tcW w:w="4163" w:type="dxa"/>
          </w:tcPr>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High level buy in between Senior Officers of LPA’s and Statutory consultees</w:t>
            </w:r>
          </w:p>
          <w:p w:rsidR="00742E00" w:rsidRPr="00D82A93" w:rsidRDefault="00742E00" w:rsidP="00742E00">
            <w:pPr>
              <w:pStyle w:val="ListParagraph"/>
              <w:numPr>
                <w:ilvl w:val="0"/>
                <w:numId w:val="9"/>
              </w:numPr>
              <w:ind w:left="317" w:hanging="317"/>
              <w:contextualSpacing w:val="0"/>
              <w:rPr>
                <w:rFonts w:ascii="Arial" w:hAnsi="Arial" w:cs="Arial"/>
              </w:rPr>
            </w:pPr>
            <w:r w:rsidRPr="00D82A93">
              <w:rPr>
                <w:rFonts w:ascii="Arial" w:hAnsi="Arial" w:cs="Arial"/>
              </w:rPr>
              <w:t>City Deal seminars for Statutory Consultees</w:t>
            </w:r>
          </w:p>
          <w:p w:rsidR="00742E00" w:rsidRPr="00D82A93" w:rsidRDefault="00742E00" w:rsidP="007750AA">
            <w:pPr>
              <w:pStyle w:val="ListParagraph"/>
              <w:ind w:left="317"/>
              <w:contextualSpacing w:val="0"/>
              <w:rPr>
                <w:rFonts w:ascii="Arial" w:hAnsi="Arial" w:cs="Arial"/>
              </w:rPr>
            </w:pPr>
          </w:p>
        </w:tc>
        <w:tc>
          <w:tcPr>
            <w:tcW w:w="1643" w:type="dxa"/>
          </w:tcPr>
          <w:p w:rsidR="00742E00" w:rsidRPr="00D82A93" w:rsidRDefault="00742E00" w:rsidP="007750AA">
            <w:pPr>
              <w:rPr>
                <w:rFonts w:ascii="Arial" w:hAnsi="Arial" w:cs="Arial"/>
              </w:rPr>
            </w:pPr>
            <w:r w:rsidRPr="00D82A93">
              <w:rPr>
                <w:rFonts w:ascii="Arial" w:hAnsi="Arial" w:cs="Arial"/>
              </w:rPr>
              <w:t>City Deal Team.</w:t>
            </w:r>
          </w:p>
        </w:tc>
        <w:tc>
          <w:tcPr>
            <w:tcW w:w="1950" w:type="dxa"/>
          </w:tcPr>
          <w:p w:rsidR="00742E00" w:rsidRPr="00D82A93" w:rsidRDefault="00742E00" w:rsidP="007750AA">
            <w:pPr>
              <w:rPr>
                <w:rFonts w:ascii="Arial" w:hAnsi="Arial" w:cs="Arial"/>
              </w:rPr>
            </w:pPr>
            <w:r w:rsidRPr="00D82A93">
              <w:rPr>
                <w:rFonts w:ascii="Arial" w:hAnsi="Arial" w:cs="Arial"/>
              </w:rPr>
              <w:t>Q2/3 2016/17</w:t>
            </w:r>
          </w:p>
        </w:tc>
      </w:tr>
    </w:tbl>
    <w:p w:rsidR="00742E00" w:rsidRPr="00D82A93" w:rsidRDefault="00742E00" w:rsidP="00742E00">
      <w:pPr>
        <w:jc w:val="both"/>
        <w:rPr>
          <w:rFonts w:ascii="Arial" w:hAnsi="Arial" w:cs="Arial"/>
        </w:rPr>
      </w:pPr>
    </w:p>
    <w:p w:rsidR="00A07DB1" w:rsidRPr="00D82A93" w:rsidRDefault="00A07DB1" w:rsidP="0076539C">
      <w:pPr>
        <w:ind w:left="567" w:hanging="567"/>
        <w:jc w:val="both"/>
        <w:rPr>
          <w:rFonts w:ascii="Arial" w:hAnsi="Arial" w:cs="Arial"/>
        </w:rPr>
      </w:pPr>
    </w:p>
    <w:p w:rsidR="00172C3A" w:rsidRPr="00D82A93" w:rsidRDefault="00172C3A" w:rsidP="00A21C48">
      <w:pPr>
        <w:ind w:left="567" w:hanging="567"/>
        <w:jc w:val="both"/>
        <w:rPr>
          <w:rFonts w:ascii="Arial" w:hAnsi="Arial" w:cs="Arial"/>
        </w:rPr>
      </w:pPr>
    </w:p>
    <w:p w:rsidR="000B650E" w:rsidRPr="00D82A93" w:rsidRDefault="000B650E" w:rsidP="00A76452">
      <w:pPr>
        <w:tabs>
          <w:tab w:val="left" w:pos="0"/>
        </w:tabs>
        <w:jc w:val="both"/>
        <w:rPr>
          <w:rFonts w:ascii="Arial" w:hAnsi="Arial" w:cs="Arial"/>
          <w:b/>
        </w:rPr>
      </w:pPr>
      <w:r w:rsidRPr="00D82A93">
        <w:rPr>
          <w:rFonts w:ascii="Arial" w:hAnsi="Arial" w:cs="Arial"/>
          <w:b/>
        </w:rPr>
        <w:t>5.0 Recommendation</w:t>
      </w:r>
    </w:p>
    <w:p w:rsidR="003C226E" w:rsidRPr="00D82A93" w:rsidRDefault="00A76452" w:rsidP="00A76452">
      <w:pPr>
        <w:ind w:left="567" w:hanging="567"/>
        <w:jc w:val="both"/>
        <w:rPr>
          <w:rFonts w:ascii="Arial" w:hAnsi="Arial" w:cs="Arial"/>
        </w:rPr>
      </w:pPr>
      <w:r w:rsidRPr="00D82A93">
        <w:rPr>
          <w:rFonts w:ascii="Arial" w:hAnsi="Arial" w:cs="Arial"/>
        </w:rPr>
        <w:t>5.1</w:t>
      </w:r>
      <w:r w:rsidRPr="00D82A93">
        <w:rPr>
          <w:rFonts w:ascii="Arial" w:hAnsi="Arial" w:cs="Arial"/>
        </w:rPr>
        <w:tab/>
      </w:r>
      <w:r w:rsidR="000B650E" w:rsidRPr="00D82A93">
        <w:rPr>
          <w:rFonts w:ascii="Arial" w:hAnsi="Arial" w:cs="Arial"/>
        </w:rPr>
        <w:t xml:space="preserve">That the Year </w:t>
      </w:r>
      <w:r w:rsidR="0078029D" w:rsidRPr="00D82A93">
        <w:rPr>
          <w:rFonts w:ascii="Arial" w:hAnsi="Arial" w:cs="Arial"/>
        </w:rPr>
        <w:t>2</w:t>
      </w:r>
      <w:r w:rsidR="000B650E" w:rsidRPr="00D82A93">
        <w:rPr>
          <w:rFonts w:ascii="Arial" w:hAnsi="Arial" w:cs="Arial"/>
        </w:rPr>
        <w:t xml:space="preserve">, Quarter </w:t>
      </w:r>
      <w:r w:rsidR="0078029D" w:rsidRPr="00D82A93">
        <w:rPr>
          <w:rFonts w:ascii="Arial" w:hAnsi="Arial" w:cs="Arial"/>
        </w:rPr>
        <w:t>1</w:t>
      </w:r>
      <w:r w:rsidR="00903989" w:rsidRPr="00D82A93">
        <w:rPr>
          <w:rFonts w:ascii="Arial" w:hAnsi="Arial" w:cs="Arial"/>
        </w:rPr>
        <w:t xml:space="preserve"> </w:t>
      </w:r>
      <w:r w:rsidR="000B650E" w:rsidRPr="00D82A93">
        <w:rPr>
          <w:rFonts w:ascii="Arial" w:hAnsi="Arial" w:cs="Arial"/>
        </w:rPr>
        <w:t>Project and Finance Monitoring reports be noted.</w:t>
      </w:r>
    </w:p>
    <w:p w:rsidR="00A76452" w:rsidRPr="00D82A93" w:rsidRDefault="00A76452" w:rsidP="00A76452">
      <w:pPr>
        <w:ind w:left="567" w:hanging="567"/>
        <w:jc w:val="both"/>
        <w:rPr>
          <w:rFonts w:ascii="Arial" w:hAnsi="Arial" w:cs="Arial"/>
        </w:rPr>
      </w:pPr>
      <w:r w:rsidRPr="00D82A93">
        <w:rPr>
          <w:rFonts w:ascii="Arial" w:hAnsi="Arial" w:cs="Arial"/>
        </w:rPr>
        <w:lastRenderedPageBreak/>
        <w:t>5.2</w:t>
      </w:r>
      <w:r w:rsidRPr="00D82A93">
        <w:rPr>
          <w:rFonts w:ascii="Arial" w:hAnsi="Arial" w:cs="Arial"/>
        </w:rPr>
        <w:tab/>
        <w:t>That the Programme Board consider whether any of the issues highlighted need to be drawn to the attention of the Executive and Stewardship Board as part of a separate report.</w:t>
      </w:r>
    </w:p>
    <w:sectPr w:rsidR="00A76452" w:rsidRPr="00D82A93" w:rsidSect="007A724C">
      <w:pgSz w:w="16838" w:h="11906" w:orient="landscape" w:code="9"/>
      <w:pgMar w:top="1440" w:right="1134"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38" w:rsidRDefault="00761B38" w:rsidP="00761B38">
      <w:pPr>
        <w:spacing w:after="0" w:line="240" w:lineRule="auto"/>
      </w:pPr>
      <w:r>
        <w:separator/>
      </w:r>
    </w:p>
  </w:endnote>
  <w:endnote w:type="continuationSeparator" w:id="0">
    <w:p w:rsidR="00761B38" w:rsidRDefault="00761B38" w:rsidP="0076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33" w:rsidRDefault="00835933">
    <w:pPr>
      <w:pStyle w:val="Footer"/>
      <w:jc w:val="center"/>
    </w:pPr>
  </w:p>
  <w:p w:rsidR="00255CD0" w:rsidRDefault="00255CD0" w:rsidP="00255C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38" w:rsidRDefault="00761B38" w:rsidP="00761B38">
      <w:pPr>
        <w:spacing w:after="0" w:line="240" w:lineRule="auto"/>
      </w:pPr>
      <w:r>
        <w:separator/>
      </w:r>
    </w:p>
  </w:footnote>
  <w:footnote w:type="continuationSeparator" w:id="0">
    <w:p w:rsidR="00761B38" w:rsidRDefault="00761B38" w:rsidP="00761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BF8"/>
    <w:multiLevelType w:val="hybridMultilevel"/>
    <w:tmpl w:val="5CDE3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541FF"/>
    <w:multiLevelType w:val="hybridMultilevel"/>
    <w:tmpl w:val="2810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508A4"/>
    <w:multiLevelType w:val="hybridMultilevel"/>
    <w:tmpl w:val="EE34D1C0"/>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29E147C1"/>
    <w:multiLevelType w:val="hybridMultilevel"/>
    <w:tmpl w:val="166477CC"/>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 w15:restartNumberingAfterBreak="0">
    <w:nsid w:val="441C2461"/>
    <w:multiLevelType w:val="hybridMultilevel"/>
    <w:tmpl w:val="D3CCC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675589"/>
    <w:multiLevelType w:val="hybridMultilevel"/>
    <w:tmpl w:val="3DC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57738"/>
    <w:multiLevelType w:val="hybridMultilevel"/>
    <w:tmpl w:val="F85204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F01EF7"/>
    <w:multiLevelType w:val="hybridMultilevel"/>
    <w:tmpl w:val="596E53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D465A"/>
    <w:multiLevelType w:val="hybridMultilevel"/>
    <w:tmpl w:val="EE54C140"/>
    <w:lvl w:ilvl="0" w:tplc="34E0CA7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E2F63"/>
    <w:multiLevelType w:val="hybridMultilevel"/>
    <w:tmpl w:val="E65C00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41E22"/>
    <w:multiLevelType w:val="hybridMultilevel"/>
    <w:tmpl w:val="35763B92"/>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4"/>
  </w:num>
  <w:num w:numId="2">
    <w:abstractNumId w:val="6"/>
  </w:num>
  <w:num w:numId="3">
    <w:abstractNumId w:val="7"/>
  </w:num>
  <w:num w:numId="4">
    <w:abstractNumId w:val="10"/>
  </w:num>
  <w:num w:numId="5">
    <w:abstractNumId w:val="3"/>
  </w:num>
  <w:num w:numId="6">
    <w:abstractNumId w:val="2"/>
  </w:num>
  <w:num w:numId="7">
    <w:abstractNumId w:val="8"/>
  </w:num>
  <w:num w:numId="8">
    <w:abstractNumId w:val="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82"/>
    <w:rsid w:val="00040CA7"/>
    <w:rsid w:val="0006548B"/>
    <w:rsid w:val="000B650E"/>
    <w:rsid w:val="000C5896"/>
    <w:rsid w:val="00103115"/>
    <w:rsid w:val="00126C4C"/>
    <w:rsid w:val="0016668D"/>
    <w:rsid w:val="00172C3A"/>
    <w:rsid w:val="00177CE8"/>
    <w:rsid w:val="001D00FE"/>
    <w:rsid w:val="00224E8B"/>
    <w:rsid w:val="0022731F"/>
    <w:rsid w:val="00255CD0"/>
    <w:rsid w:val="002623EC"/>
    <w:rsid w:val="00270806"/>
    <w:rsid w:val="002779BC"/>
    <w:rsid w:val="00281246"/>
    <w:rsid w:val="002934EC"/>
    <w:rsid w:val="002F6B7E"/>
    <w:rsid w:val="003012D1"/>
    <w:rsid w:val="00320BC3"/>
    <w:rsid w:val="00322491"/>
    <w:rsid w:val="00324593"/>
    <w:rsid w:val="003B5186"/>
    <w:rsid w:val="003C226E"/>
    <w:rsid w:val="004578CF"/>
    <w:rsid w:val="00467DA1"/>
    <w:rsid w:val="00522C54"/>
    <w:rsid w:val="0055359F"/>
    <w:rsid w:val="00554B75"/>
    <w:rsid w:val="005935B6"/>
    <w:rsid w:val="005E29B5"/>
    <w:rsid w:val="0062626E"/>
    <w:rsid w:val="00630DDB"/>
    <w:rsid w:val="006503AC"/>
    <w:rsid w:val="00667D53"/>
    <w:rsid w:val="006A1FD0"/>
    <w:rsid w:val="006C4F2C"/>
    <w:rsid w:val="006C576B"/>
    <w:rsid w:val="00716021"/>
    <w:rsid w:val="00742E00"/>
    <w:rsid w:val="00761B38"/>
    <w:rsid w:val="0076539C"/>
    <w:rsid w:val="0078029D"/>
    <w:rsid w:val="007A724C"/>
    <w:rsid w:val="007B49E3"/>
    <w:rsid w:val="007C4509"/>
    <w:rsid w:val="00806384"/>
    <w:rsid w:val="008308FB"/>
    <w:rsid w:val="00835933"/>
    <w:rsid w:val="0083799F"/>
    <w:rsid w:val="00851685"/>
    <w:rsid w:val="00882D4C"/>
    <w:rsid w:val="00903989"/>
    <w:rsid w:val="00924D2B"/>
    <w:rsid w:val="009351BA"/>
    <w:rsid w:val="00947E2F"/>
    <w:rsid w:val="009508AA"/>
    <w:rsid w:val="009561E9"/>
    <w:rsid w:val="009748C7"/>
    <w:rsid w:val="009A1809"/>
    <w:rsid w:val="009C68FA"/>
    <w:rsid w:val="00A07DB1"/>
    <w:rsid w:val="00A21C48"/>
    <w:rsid w:val="00A23882"/>
    <w:rsid w:val="00A54F7B"/>
    <w:rsid w:val="00A55D0F"/>
    <w:rsid w:val="00A64BA0"/>
    <w:rsid w:val="00A76452"/>
    <w:rsid w:val="00A8019A"/>
    <w:rsid w:val="00AA24E9"/>
    <w:rsid w:val="00AC4674"/>
    <w:rsid w:val="00B04E38"/>
    <w:rsid w:val="00B23664"/>
    <w:rsid w:val="00B42B8B"/>
    <w:rsid w:val="00B90348"/>
    <w:rsid w:val="00C141AB"/>
    <w:rsid w:val="00C319E5"/>
    <w:rsid w:val="00CB03E0"/>
    <w:rsid w:val="00CD6321"/>
    <w:rsid w:val="00CF4833"/>
    <w:rsid w:val="00CF56E1"/>
    <w:rsid w:val="00D05E19"/>
    <w:rsid w:val="00D237C4"/>
    <w:rsid w:val="00D470F2"/>
    <w:rsid w:val="00D70B13"/>
    <w:rsid w:val="00D82A93"/>
    <w:rsid w:val="00DA0205"/>
    <w:rsid w:val="00DB36BC"/>
    <w:rsid w:val="00DB618A"/>
    <w:rsid w:val="00E50970"/>
    <w:rsid w:val="00E571A4"/>
    <w:rsid w:val="00E76886"/>
    <w:rsid w:val="00EA59D4"/>
    <w:rsid w:val="00EF01FF"/>
    <w:rsid w:val="00F30F99"/>
    <w:rsid w:val="00F50983"/>
    <w:rsid w:val="00F70E84"/>
    <w:rsid w:val="00FA7B5B"/>
    <w:rsid w:val="00FB7434"/>
    <w:rsid w:val="00FC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97400A-4F6B-474E-B772-A42EE30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82"/>
    <w:pPr>
      <w:ind w:left="720"/>
      <w:contextualSpacing/>
    </w:pPr>
  </w:style>
  <w:style w:type="paragraph" w:styleId="NoSpacing">
    <w:name w:val="No Spacing"/>
    <w:uiPriority w:val="1"/>
    <w:qFormat/>
    <w:rsid w:val="00A23882"/>
    <w:pPr>
      <w:spacing w:after="0" w:line="240" w:lineRule="auto"/>
    </w:pPr>
    <w:rPr>
      <w:rFonts w:ascii="Arial" w:hAnsi="Arial"/>
      <w:sz w:val="24"/>
    </w:rPr>
  </w:style>
  <w:style w:type="paragraph" w:styleId="Header">
    <w:name w:val="header"/>
    <w:basedOn w:val="Normal"/>
    <w:link w:val="HeaderChar"/>
    <w:uiPriority w:val="99"/>
    <w:unhideWhenUsed/>
    <w:rsid w:val="0076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B38"/>
  </w:style>
  <w:style w:type="paragraph" w:styleId="Footer">
    <w:name w:val="footer"/>
    <w:basedOn w:val="Normal"/>
    <w:link w:val="FooterChar"/>
    <w:uiPriority w:val="99"/>
    <w:unhideWhenUsed/>
    <w:rsid w:val="0076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B38"/>
  </w:style>
  <w:style w:type="paragraph" w:styleId="BalloonText">
    <w:name w:val="Balloon Text"/>
    <w:basedOn w:val="Normal"/>
    <w:link w:val="BalloonTextChar"/>
    <w:uiPriority w:val="99"/>
    <w:semiHidden/>
    <w:unhideWhenUsed/>
    <w:rsid w:val="0095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AA"/>
    <w:rPr>
      <w:rFonts w:ascii="Segoe UI" w:hAnsi="Segoe UI" w:cs="Segoe UI"/>
      <w:sz w:val="18"/>
      <w:szCs w:val="18"/>
    </w:rPr>
  </w:style>
  <w:style w:type="table" w:styleId="TableGrid">
    <w:name w:val="Table Grid"/>
    <w:basedOn w:val="TableNormal"/>
    <w:uiPriority w:val="39"/>
    <w:rsid w:val="006C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arry@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ne.ainswor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29</cp:revision>
  <cp:lastPrinted>2016-09-22T10:40:00Z</cp:lastPrinted>
  <dcterms:created xsi:type="dcterms:W3CDTF">2016-09-20T09:15:00Z</dcterms:created>
  <dcterms:modified xsi:type="dcterms:W3CDTF">2016-09-26T14:56:00Z</dcterms:modified>
</cp:coreProperties>
</file>